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ECAD8" w14:textId="77777777" w:rsidR="001A3BEC" w:rsidRPr="00F54093" w:rsidRDefault="00085FB6">
      <w:pPr>
        <w:jc w:val="center"/>
        <w:rPr>
          <w:rFonts w:ascii="Calibri" w:hAnsi="Calibri" w:cs="Calibri"/>
        </w:rPr>
      </w:pPr>
      <w:r w:rsidRPr="00F54093">
        <w:rPr>
          <w:rFonts w:ascii="Calibri" w:hAnsi="Calibri" w:cs="Calibri"/>
          <w:noProof/>
        </w:rPr>
        <w:drawing>
          <wp:inline distT="0" distB="0" distL="0" distR="0" wp14:anchorId="460ECC16" wp14:editId="378FEE85">
            <wp:extent cx="13716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460ECAD9" w14:textId="77777777" w:rsidR="001A3BEC" w:rsidRPr="00F54093" w:rsidRDefault="001A3BEC">
      <w:pPr>
        <w:jc w:val="center"/>
        <w:rPr>
          <w:rFonts w:ascii="Calibri" w:hAnsi="Calibri" w:cs="Calibri"/>
          <w:sz w:val="24"/>
        </w:rPr>
      </w:pPr>
    </w:p>
    <w:p w14:paraId="460ECADA" w14:textId="77777777" w:rsidR="001A3BEC" w:rsidRPr="00F54093" w:rsidRDefault="001A3BEC">
      <w:pPr>
        <w:jc w:val="center"/>
        <w:rPr>
          <w:rFonts w:ascii="Calibri" w:hAnsi="Calibri" w:cs="Calibri"/>
          <w:spacing w:val="-5"/>
          <w:sz w:val="24"/>
        </w:rPr>
      </w:pPr>
      <w:r w:rsidRPr="00F54093">
        <w:rPr>
          <w:rFonts w:ascii="Calibri" w:hAnsi="Calibri" w:cs="Calibri"/>
          <w:spacing w:val="-5"/>
          <w:sz w:val="24"/>
        </w:rPr>
        <w:t xml:space="preserve">Specialist Medical </w:t>
      </w:r>
      <w:r w:rsidRPr="00F54093">
        <w:rPr>
          <w:rFonts w:ascii="Calibri" w:hAnsi="Calibri" w:cs="Calibri"/>
          <w:spacing w:val="-15"/>
          <w:sz w:val="24"/>
        </w:rPr>
        <w:t>Re</w:t>
      </w:r>
      <w:r w:rsidRPr="00F54093">
        <w:rPr>
          <w:rFonts w:ascii="Calibri" w:hAnsi="Calibri" w:cs="Calibri"/>
          <w:spacing w:val="-5"/>
          <w:sz w:val="24"/>
        </w:rPr>
        <w:t>view Council</w:t>
      </w:r>
    </w:p>
    <w:p w14:paraId="460ECADB" w14:textId="77777777" w:rsidR="001A3BEC" w:rsidRPr="00F54093" w:rsidRDefault="001A3BEC">
      <w:pPr>
        <w:jc w:val="center"/>
        <w:rPr>
          <w:rFonts w:ascii="Calibri" w:hAnsi="Calibri" w:cs="Calibri"/>
          <w:sz w:val="24"/>
        </w:rPr>
      </w:pPr>
    </w:p>
    <w:p w14:paraId="460ECADC" w14:textId="77777777" w:rsidR="001A3BEC" w:rsidRPr="00F54093" w:rsidRDefault="001A3BEC">
      <w:pPr>
        <w:keepNext/>
        <w:widowControl w:val="0"/>
        <w:jc w:val="center"/>
        <w:outlineLvl w:val="6"/>
        <w:rPr>
          <w:rFonts w:ascii="Calibri" w:hAnsi="Calibri" w:cs="Calibri"/>
          <w:b/>
          <w:sz w:val="24"/>
        </w:rPr>
      </w:pPr>
      <w:r w:rsidRPr="00F54093">
        <w:rPr>
          <w:rFonts w:ascii="Calibri" w:hAnsi="Calibri" w:cs="Calibri"/>
          <w:b/>
          <w:sz w:val="24"/>
        </w:rPr>
        <w:t>Declaration and Reasons for Decisions</w:t>
      </w:r>
    </w:p>
    <w:p w14:paraId="460ECADD" w14:textId="77777777" w:rsidR="001A3BEC" w:rsidRPr="00F54093" w:rsidRDefault="001A3BEC">
      <w:pPr>
        <w:jc w:val="center"/>
        <w:rPr>
          <w:rFonts w:ascii="Calibri" w:hAnsi="Calibri" w:cs="Calibri"/>
          <w:sz w:val="24"/>
        </w:rPr>
      </w:pPr>
    </w:p>
    <w:p w14:paraId="460ECADE" w14:textId="77777777" w:rsidR="001A3BEC" w:rsidRPr="00F54093" w:rsidRDefault="001A3BEC">
      <w:pPr>
        <w:widowControl w:val="0"/>
        <w:jc w:val="center"/>
        <w:rPr>
          <w:rFonts w:ascii="Calibri" w:hAnsi="Calibri" w:cs="Calibri"/>
          <w:i/>
          <w:sz w:val="24"/>
        </w:rPr>
      </w:pPr>
      <w:r w:rsidRPr="00F54093">
        <w:rPr>
          <w:rFonts w:ascii="Calibri" w:hAnsi="Calibri" w:cs="Calibri"/>
          <w:i/>
          <w:sz w:val="24"/>
        </w:rPr>
        <w:t>Section 196W</w:t>
      </w:r>
      <w:r w:rsidRPr="00F54093">
        <w:rPr>
          <w:rFonts w:ascii="Calibri" w:hAnsi="Calibri" w:cs="Calibri"/>
          <w:i/>
          <w:sz w:val="24"/>
        </w:rPr>
        <w:br/>
        <w:t>Veterans’ Entitlements Act 1986</w:t>
      </w:r>
    </w:p>
    <w:p w14:paraId="460ECADF" w14:textId="77777777" w:rsidR="001A3BEC" w:rsidRPr="00F54093" w:rsidRDefault="001A3BEC">
      <w:pPr>
        <w:jc w:val="center"/>
        <w:rPr>
          <w:rFonts w:ascii="Calibri" w:hAnsi="Calibri" w:cs="Calibri"/>
          <w:sz w:val="24"/>
        </w:rPr>
      </w:pPr>
    </w:p>
    <w:p w14:paraId="460ECAE0" w14:textId="77777777" w:rsidR="001A3BEC" w:rsidRPr="00F54093" w:rsidRDefault="001A3BEC">
      <w:pPr>
        <w:pBdr>
          <w:top w:val="single" w:sz="12" w:space="1" w:color="auto"/>
        </w:pBdr>
        <w:ind w:left="3119" w:right="3119"/>
        <w:jc w:val="center"/>
        <w:rPr>
          <w:rFonts w:ascii="Calibri" w:hAnsi="Calibri" w:cs="Calibri"/>
          <w:sz w:val="24"/>
        </w:rPr>
      </w:pPr>
    </w:p>
    <w:p w14:paraId="460ECAE1" w14:textId="5E107A9D" w:rsidR="001A3BEC" w:rsidRPr="00F54093" w:rsidRDefault="001A3BEC">
      <w:pPr>
        <w:jc w:val="center"/>
        <w:rPr>
          <w:rFonts w:ascii="Calibri" w:hAnsi="Calibri" w:cs="Calibri"/>
          <w:sz w:val="24"/>
        </w:rPr>
      </w:pPr>
      <w:r w:rsidRPr="00F54093">
        <w:rPr>
          <w:rFonts w:ascii="Calibri" w:hAnsi="Calibri" w:cs="Calibri"/>
          <w:b/>
          <w:sz w:val="24"/>
        </w:rPr>
        <w:t xml:space="preserve">Re: Statements of Principles </w:t>
      </w:r>
      <w:r w:rsidR="0063443C" w:rsidRPr="0063443C">
        <w:rPr>
          <w:rFonts w:ascii="Calibri" w:hAnsi="Calibri" w:cs="Calibri"/>
          <w:b/>
          <w:sz w:val="24"/>
        </w:rPr>
        <w:t>Nos. 01 and 02 of 2022</w:t>
      </w:r>
      <w:r w:rsidR="00404170" w:rsidRPr="00F54093">
        <w:rPr>
          <w:rFonts w:ascii="Calibri" w:hAnsi="Calibri" w:cs="Calibri"/>
          <w:b/>
          <w:sz w:val="24"/>
        </w:rPr>
        <w:t xml:space="preserve">, </w:t>
      </w:r>
    </w:p>
    <w:p w14:paraId="460ECAE2" w14:textId="0CBACD52" w:rsidR="001A3BEC" w:rsidRPr="00F54093" w:rsidRDefault="001A3BEC">
      <w:pPr>
        <w:jc w:val="center"/>
        <w:rPr>
          <w:rFonts w:ascii="Calibri" w:hAnsi="Calibri" w:cs="Calibri"/>
          <w:b/>
          <w:sz w:val="24"/>
        </w:rPr>
      </w:pPr>
      <w:r w:rsidRPr="00F54093">
        <w:rPr>
          <w:rFonts w:ascii="Calibri" w:hAnsi="Calibri" w:cs="Calibri"/>
          <w:b/>
          <w:sz w:val="24"/>
        </w:rPr>
        <w:t xml:space="preserve">in respect of </w:t>
      </w:r>
      <w:r w:rsidR="0063443C" w:rsidRPr="0063443C">
        <w:rPr>
          <w:rFonts w:ascii="Calibri" w:hAnsi="Calibri" w:cs="Calibri"/>
          <w:b/>
          <w:sz w:val="24"/>
        </w:rPr>
        <w:t xml:space="preserve">Hashimoto thyroiditis </w:t>
      </w:r>
    </w:p>
    <w:p w14:paraId="460ECAE3" w14:textId="77777777" w:rsidR="001A3BEC" w:rsidRPr="00F54093" w:rsidRDefault="001A3BEC">
      <w:pPr>
        <w:jc w:val="center"/>
        <w:rPr>
          <w:rFonts w:ascii="Calibri" w:hAnsi="Calibri" w:cs="Calibri"/>
          <w:b/>
          <w:sz w:val="24"/>
        </w:rPr>
      </w:pPr>
    </w:p>
    <w:p w14:paraId="460ECAE4" w14:textId="32F3BF98" w:rsidR="001A3BEC" w:rsidRPr="00F54093" w:rsidRDefault="001A3BEC">
      <w:pPr>
        <w:ind w:left="1701" w:right="1701"/>
        <w:jc w:val="center"/>
        <w:rPr>
          <w:rFonts w:ascii="Calibri" w:hAnsi="Calibri" w:cs="Calibri"/>
          <w:sz w:val="24"/>
        </w:rPr>
      </w:pPr>
      <w:r w:rsidRPr="00F54093">
        <w:rPr>
          <w:rFonts w:ascii="Calibri" w:hAnsi="Calibri" w:cs="Calibri"/>
          <w:sz w:val="24"/>
        </w:rPr>
        <w:t xml:space="preserve">Declaration No. </w:t>
      </w:r>
      <w:r w:rsidR="004F53C2">
        <w:rPr>
          <w:rFonts w:ascii="Calibri" w:hAnsi="Calibri" w:cs="Calibri"/>
          <w:sz w:val="24"/>
        </w:rPr>
        <w:t>37</w:t>
      </w:r>
    </w:p>
    <w:p w14:paraId="460ECAE5" w14:textId="77777777" w:rsidR="001A3BEC" w:rsidRPr="00F54093" w:rsidRDefault="001A3BEC">
      <w:pPr>
        <w:ind w:left="2125" w:right="1701" w:firstLine="425"/>
        <w:rPr>
          <w:rFonts w:ascii="Calibri" w:hAnsi="Calibri" w:cs="Calibri"/>
          <w:b/>
          <w:sz w:val="24"/>
        </w:rPr>
      </w:pPr>
    </w:p>
    <w:p w14:paraId="460ECAFC" w14:textId="582CB32E" w:rsidR="0097248E" w:rsidRPr="00377B92" w:rsidRDefault="0097248E" w:rsidP="00116DCE">
      <w:pPr>
        <w:pStyle w:val="NumberLevel1"/>
        <w:numPr>
          <w:ilvl w:val="0"/>
          <w:numId w:val="18"/>
        </w:numPr>
        <w:rPr>
          <w:rFonts w:ascii="Calibri" w:hAnsi="Calibri" w:cs="Calibri"/>
          <w:sz w:val="24"/>
          <w:szCs w:val="24"/>
        </w:rPr>
      </w:pPr>
      <w:bookmarkStart w:id="0" w:name="_Ref384985709"/>
      <w:r w:rsidRPr="00377B92">
        <w:rPr>
          <w:rFonts w:ascii="Calibri" w:hAnsi="Calibri" w:cs="Calibri"/>
          <w:sz w:val="24"/>
          <w:szCs w:val="24"/>
        </w:rPr>
        <w:t xml:space="preserve">In relation to the RMA Statements of Principles </w:t>
      </w:r>
      <w:r w:rsidRPr="00377B92">
        <w:rPr>
          <w:rFonts w:ascii="Calibri" w:hAnsi="Calibri" w:cs="Calibri"/>
          <w:b/>
          <w:sz w:val="24"/>
          <w:szCs w:val="24"/>
        </w:rPr>
        <w:t>No</w:t>
      </w:r>
      <w:r w:rsidR="00387A0E" w:rsidRPr="00377B92">
        <w:rPr>
          <w:rFonts w:ascii="Calibri" w:hAnsi="Calibri" w:cs="Calibri"/>
          <w:b/>
          <w:sz w:val="24"/>
          <w:szCs w:val="24"/>
        </w:rPr>
        <w:t>s</w:t>
      </w:r>
      <w:r w:rsidRPr="00377B92">
        <w:rPr>
          <w:rFonts w:ascii="Calibri" w:hAnsi="Calibri" w:cs="Calibri"/>
          <w:b/>
          <w:sz w:val="24"/>
          <w:szCs w:val="24"/>
        </w:rPr>
        <w:t xml:space="preserve">. </w:t>
      </w:r>
      <w:r w:rsidR="00387A0E" w:rsidRPr="00377B92">
        <w:rPr>
          <w:rFonts w:ascii="Calibri" w:hAnsi="Calibri" w:cs="Calibri"/>
          <w:b/>
          <w:bCs/>
          <w:sz w:val="24"/>
          <w:szCs w:val="24"/>
        </w:rPr>
        <w:t>01 and 02 of 2022</w:t>
      </w:r>
      <w:r w:rsidR="00387A0E" w:rsidRPr="00377B92">
        <w:rPr>
          <w:rFonts w:ascii="Calibri" w:hAnsi="Calibri" w:cs="Calibri"/>
          <w:sz w:val="24"/>
          <w:szCs w:val="24"/>
        </w:rPr>
        <w:t xml:space="preserve"> </w:t>
      </w:r>
      <w:r w:rsidRPr="00377B92">
        <w:rPr>
          <w:rFonts w:ascii="Calibri" w:hAnsi="Calibri" w:cs="Calibri"/>
          <w:sz w:val="24"/>
          <w:szCs w:val="24"/>
        </w:rPr>
        <w:t xml:space="preserve">concerning </w:t>
      </w:r>
      <w:r w:rsidR="006A6020" w:rsidRPr="00377B92">
        <w:rPr>
          <w:rFonts w:ascii="Calibri" w:hAnsi="Calibri" w:cs="Calibri"/>
          <w:b/>
          <w:bCs/>
          <w:sz w:val="24"/>
          <w:szCs w:val="24"/>
        </w:rPr>
        <w:t>Hashimoto thyroiditis</w:t>
      </w:r>
      <w:r w:rsidR="006A6020" w:rsidRPr="00377B92">
        <w:rPr>
          <w:rFonts w:ascii="Calibri" w:hAnsi="Calibri" w:cs="Calibri"/>
          <w:sz w:val="24"/>
          <w:szCs w:val="24"/>
        </w:rPr>
        <w:t xml:space="preserve"> </w:t>
      </w:r>
      <w:r w:rsidRPr="00377B92">
        <w:rPr>
          <w:rFonts w:ascii="Calibri" w:hAnsi="Calibri" w:cs="Calibri"/>
          <w:sz w:val="24"/>
          <w:szCs w:val="24"/>
        </w:rPr>
        <w:t xml:space="preserve">made under subsections 196B of </w:t>
      </w:r>
      <w:r w:rsidR="00B26DFD" w:rsidRPr="00377B92">
        <w:rPr>
          <w:rFonts w:ascii="Calibri" w:hAnsi="Calibri" w:cs="Calibri"/>
          <w:sz w:val="24"/>
          <w:szCs w:val="24"/>
        </w:rPr>
        <w:t>the</w:t>
      </w:r>
      <w:r w:rsidR="00B26DFD" w:rsidRPr="00377B92">
        <w:rPr>
          <w:rFonts w:ascii="Calibri" w:hAnsi="Calibri" w:cs="Calibri"/>
          <w:i/>
          <w:sz w:val="24"/>
          <w:szCs w:val="24"/>
        </w:rPr>
        <w:t xml:space="preserve"> Veterans</w:t>
      </w:r>
      <w:r w:rsidRPr="00377B92">
        <w:rPr>
          <w:rFonts w:ascii="Calibri" w:hAnsi="Calibri" w:cs="Calibri"/>
          <w:i/>
          <w:sz w:val="24"/>
          <w:szCs w:val="24"/>
        </w:rPr>
        <w:t xml:space="preserve">' Entitlements Act 1986 </w:t>
      </w:r>
      <w:r w:rsidRPr="00377B92">
        <w:rPr>
          <w:rFonts w:ascii="Calibri" w:hAnsi="Calibri" w:cs="Calibri"/>
          <w:sz w:val="24"/>
          <w:szCs w:val="24"/>
        </w:rPr>
        <w:t>(the VEA), the Council under subsection 196</w:t>
      </w:r>
      <w:proofErr w:type="gramStart"/>
      <w:r w:rsidRPr="00377B92">
        <w:rPr>
          <w:rFonts w:ascii="Calibri" w:hAnsi="Calibri" w:cs="Calibri"/>
          <w:sz w:val="24"/>
          <w:szCs w:val="24"/>
        </w:rPr>
        <w:t>W(</w:t>
      </w:r>
      <w:proofErr w:type="gramEnd"/>
      <w:r w:rsidRPr="00377B92">
        <w:rPr>
          <w:rFonts w:ascii="Calibri" w:hAnsi="Calibri" w:cs="Calibri"/>
          <w:sz w:val="24"/>
          <w:szCs w:val="24"/>
        </w:rPr>
        <w:t>5) of the VEA:</w:t>
      </w:r>
    </w:p>
    <w:p w14:paraId="3771903F" w14:textId="358FD90A" w:rsidR="00622D05" w:rsidRDefault="0097248E" w:rsidP="0097248E">
      <w:pPr>
        <w:pStyle w:val="NumberLevel1"/>
        <w:ind w:left="1275" w:right="327"/>
        <w:rPr>
          <w:rFonts w:ascii="Calibri" w:hAnsi="Calibri" w:cs="Calibri"/>
          <w:sz w:val="24"/>
          <w:szCs w:val="24"/>
        </w:rPr>
      </w:pPr>
      <w:r w:rsidRPr="00377B92">
        <w:rPr>
          <w:rFonts w:ascii="Calibri" w:hAnsi="Calibri" w:cs="Calibri"/>
          <w:sz w:val="24"/>
          <w:szCs w:val="24"/>
        </w:rPr>
        <w:t xml:space="preserve">DECLARES that </w:t>
      </w:r>
      <w:r w:rsidR="00914374">
        <w:rPr>
          <w:rFonts w:ascii="Calibri" w:hAnsi="Calibri" w:cs="Calibri"/>
          <w:sz w:val="24"/>
          <w:szCs w:val="24"/>
        </w:rPr>
        <w:t xml:space="preserve">the sound </w:t>
      </w:r>
      <w:r w:rsidRPr="00377B92">
        <w:rPr>
          <w:rFonts w:ascii="Calibri" w:hAnsi="Calibri" w:cs="Calibri"/>
          <w:sz w:val="24"/>
          <w:szCs w:val="24"/>
        </w:rPr>
        <w:t xml:space="preserve">medical-scientific evidence </w:t>
      </w:r>
      <w:r w:rsidR="00914374">
        <w:rPr>
          <w:rFonts w:ascii="Calibri" w:hAnsi="Calibri" w:cs="Calibri"/>
          <w:sz w:val="24"/>
          <w:szCs w:val="24"/>
        </w:rPr>
        <w:t xml:space="preserve">available to the </w:t>
      </w:r>
      <w:r w:rsidRPr="00377B92">
        <w:rPr>
          <w:rFonts w:ascii="Calibri" w:hAnsi="Calibri" w:cs="Calibri"/>
          <w:sz w:val="24"/>
          <w:szCs w:val="24"/>
        </w:rPr>
        <w:t>RMA</w:t>
      </w:r>
      <w:r w:rsidR="00914374">
        <w:rPr>
          <w:rFonts w:ascii="Calibri" w:hAnsi="Calibri" w:cs="Calibri"/>
          <w:sz w:val="24"/>
          <w:szCs w:val="24"/>
        </w:rPr>
        <w:t xml:space="preserve"> is insufficient to justify the amendment of: </w:t>
      </w:r>
      <w:r w:rsidRPr="00377B92">
        <w:rPr>
          <w:rFonts w:ascii="Calibri" w:hAnsi="Calibri" w:cs="Calibri"/>
          <w:sz w:val="24"/>
          <w:szCs w:val="24"/>
        </w:rPr>
        <w:t xml:space="preserve"> </w:t>
      </w:r>
    </w:p>
    <w:p w14:paraId="224C74F0" w14:textId="7F1A8306" w:rsidR="006C2C64" w:rsidRDefault="00622D05" w:rsidP="00D6551E">
      <w:pPr>
        <w:pStyle w:val="NumberLevel1"/>
        <w:numPr>
          <w:ilvl w:val="0"/>
          <w:numId w:val="28"/>
        </w:numPr>
        <w:ind w:right="327"/>
        <w:rPr>
          <w:rFonts w:ascii="Calibri" w:hAnsi="Calibri" w:cs="Calibri"/>
          <w:sz w:val="24"/>
          <w:szCs w:val="24"/>
        </w:rPr>
      </w:pPr>
      <w:r>
        <w:rPr>
          <w:rFonts w:ascii="Calibri" w:hAnsi="Calibri" w:cs="Calibri"/>
          <w:sz w:val="24"/>
          <w:szCs w:val="24"/>
        </w:rPr>
        <w:t>Statement of Principles No</w:t>
      </w:r>
      <w:r w:rsidR="001C3EC7">
        <w:rPr>
          <w:rFonts w:ascii="Calibri" w:hAnsi="Calibri" w:cs="Calibri"/>
          <w:sz w:val="24"/>
          <w:szCs w:val="24"/>
        </w:rPr>
        <w:t>.</w:t>
      </w:r>
      <w:r>
        <w:rPr>
          <w:rFonts w:ascii="Calibri" w:hAnsi="Calibri" w:cs="Calibri"/>
          <w:sz w:val="24"/>
          <w:szCs w:val="24"/>
        </w:rPr>
        <w:t xml:space="preserve"> 2 of 2022 to include the following factors</w:t>
      </w:r>
      <w:r w:rsidR="006C2C64">
        <w:rPr>
          <w:rFonts w:ascii="Calibri" w:hAnsi="Calibri" w:cs="Calibri"/>
          <w:sz w:val="24"/>
          <w:szCs w:val="24"/>
        </w:rPr>
        <w:t>(s):</w:t>
      </w:r>
    </w:p>
    <w:p w14:paraId="6A2CF418" w14:textId="532A9066" w:rsidR="006C2C64" w:rsidRDefault="006C2C64" w:rsidP="00D6551E">
      <w:pPr>
        <w:pStyle w:val="NumberLevel1"/>
        <w:ind w:left="1275" w:right="327"/>
        <w:rPr>
          <w:rFonts w:ascii="Calibri" w:hAnsi="Calibri" w:cs="Calibri"/>
          <w:sz w:val="24"/>
          <w:szCs w:val="24"/>
        </w:rPr>
      </w:pPr>
      <w:r w:rsidRPr="00377B92">
        <w:rPr>
          <w:rFonts w:ascii="Calibri" w:hAnsi="Calibri" w:cs="Calibri"/>
          <w:b/>
          <w:sz w:val="24"/>
          <w:szCs w:val="24"/>
        </w:rPr>
        <w:t>posttraumatic stress disorder</w:t>
      </w:r>
      <w:r w:rsidR="00451DDB">
        <w:rPr>
          <w:rFonts w:ascii="Calibri" w:hAnsi="Calibri" w:cs="Calibri"/>
          <w:b/>
          <w:sz w:val="24"/>
          <w:szCs w:val="24"/>
        </w:rPr>
        <w:t xml:space="preserve">; </w:t>
      </w:r>
      <w:r w:rsidR="00451DDB" w:rsidRPr="00D6551E">
        <w:rPr>
          <w:rFonts w:ascii="Calibri" w:hAnsi="Calibri" w:cs="Calibri"/>
          <w:bCs/>
          <w:sz w:val="24"/>
          <w:szCs w:val="24"/>
        </w:rPr>
        <w:t>and</w:t>
      </w:r>
    </w:p>
    <w:p w14:paraId="460ECAFD" w14:textId="7BA275F0" w:rsidR="0097248E" w:rsidRPr="00377B92" w:rsidRDefault="00451DDB" w:rsidP="00D6551E">
      <w:pPr>
        <w:pStyle w:val="NumberLevel1"/>
        <w:numPr>
          <w:ilvl w:val="0"/>
          <w:numId w:val="28"/>
        </w:numPr>
        <w:ind w:right="327"/>
        <w:rPr>
          <w:rFonts w:ascii="Calibri" w:hAnsi="Calibri" w:cs="Calibri"/>
          <w:sz w:val="24"/>
          <w:szCs w:val="24"/>
        </w:rPr>
      </w:pPr>
      <w:r>
        <w:rPr>
          <w:rFonts w:ascii="Calibri" w:hAnsi="Calibri" w:cs="Calibri"/>
          <w:sz w:val="24"/>
          <w:szCs w:val="24"/>
        </w:rPr>
        <w:t>Factors 9(9) and 9(1</w:t>
      </w:r>
      <w:r w:rsidR="00A949D2">
        <w:rPr>
          <w:rFonts w:ascii="Calibri" w:hAnsi="Calibri" w:cs="Calibri"/>
          <w:sz w:val="24"/>
          <w:szCs w:val="24"/>
        </w:rPr>
        <w:t>9</w:t>
      </w:r>
      <w:r>
        <w:rPr>
          <w:rFonts w:ascii="Calibri" w:hAnsi="Calibri" w:cs="Calibri"/>
          <w:sz w:val="24"/>
          <w:szCs w:val="24"/>
        </w:rPr>
        <w:t xml:space="preserve">) of Statement of </w:t>
      </w:r>
      <w:r w:rsidR="00B63616">
        <w:rPr>
          <w:rFonts w:ascii="Calibri" w:hAnsi="Calibri" w:cs="Calibri"/>
          <w:sz w:val="24"/>
          <w:szCs w:val="24"/>
        </w:rPr>
        <w:t xml:space="preserve">Principles </w:t>
      </w:r>
      <w:r w:rsidR="009005B0">
        <w:rPr>
          <w:rFonts w:ascii="Calibri" w:hAnsi="Calibri" w:cs="Calibri"/>
          <w:sz w:val="24"/>
          <w:szCs w:val="24"/>
        </w:rPr>
        <w:t>No.</w:t>
      </w:r>
      <w:r w:rsidR="00B63616">
        <w:rPr>
          <w:rFonts w:ascii="Calibri" w:hAnsi="Calibri" w:cs="Calibri"/>
          <w:sz w:val="24"/>
          <w:szCs w:val="24"/>
        </w:rPr>
        <w:t xml:space="preserve"> 1 of 2022 to replace ‘having post</w:t>
      </w:r>
      <w:r w:rsidR="00855D7B">
        <w:rPr>
          <w:rFonts w:ascii="Calibri" w:hAnsi="Calibri" w:cs="Calibri"/>
          <w:sz w:val="24"/>
          <w:szCs w:val="24"/>
        </w:rPr>
        <w:t xml:space="preserve">traumatic stress disorder at the </w:t>
      </w:r>
      <w:r w:rsidR="00855D7B" w:rsidRPr="00D6551E">
        <w:rPr>
          <w:rFonts w:ascii="Calibri" w:hAnsi="Calibri" w:cs="Calibri"/>
          <w:i/>
          <w:iCs/>
          <w:sz w:val="24"/>
          <w:szCs w:val="24"/>
        </w:rPr>
        <w:t>time of</w:t>
      </w:r>
      <w:r w:rsidR="00855D7B">
        <w:rPr>
          <w:rFonts w:ascii="Calibri" w:hAnsi="Calibri" w:cs="Calibri"/>
          <w:sz w:val="24"/>
          <w:szCs w:val="24"/>
        </w:rPr>
        <w:t xml:space="preserve"> the</w:t>
      </w:r>
      <w:r w:rsidR="009005B0">
        <w:rPr>
          <w:rFonts w:ascii="Calibri" w:hAnsi="Calibri" w:cs="Calibri"/>
          <w:sz w:val="24"/>
          <w:szCs w:val="24"/>
        </w:rPr>
        <w:t>’</w:t>
      </w:r>
      <w:r w:rsidR="00855D7B">
        <w:rPr>
          <w:rFonts w:ascii="Calibri" w:hAnsi="Calibri" w:cs="Calibri"/>
          <w:sz w:val="24"/>
          <w:szCs w:val="24"/>
        </w:rPr>
        <w:t xml:space="preserve"> with ‘having posttraumatic stress disorder </w:t>
      </w:r>
      <w:r w:rsidR="00855D7B" w:rsidRPr="00D6551E">
        <w:rPr>
          <w:rFonts w:ascii="Calibri" w:hAnsi="Calibri" w:cs="Calibri"/>
          <w:i/>
          <w:iCs/>
          <w:sz w:val="24"/>
          <w:szCs w:val="24"/>
        </w:rPr>
        <w:t>before</w:t>
      </w:r>
      <w:r w:rsidR="00855D7B">
        <w:rPr>
          <w:rFonts w:ascii="Calibri" w:hAnsi="Calibri" w:cs="Calibri"/>
          <w:sz w:val="24"/>
          <w:szCs w:val="24"/>
        </w:rPr>
        <w:t xml:space="preserve"> the’</w:t>
      </w:r>
      <w:r w:rsidR="00DF4C14">
        <w:rPr>
          <w:rFonts w:ascii="Calibri" w:hAnsi="Calibri" w:cs="Calibri"/>
          <w:sz w:val="24"/>
          <w:szCs w:val="24"/>
        </w:rPr>
        <w:t>.</w:t>
      </w:r>
    </w:p>
    <w:bookmarkEnd w:id="0"/>
    <w:p w14:paraId="460ECB05" w14:textId="77777777" w:rsidR="001A3BEC" w:rsidRPr="00F54093" w:rsidRDefault="001A3BEC">
      <w:pPr>
        <w:rPr>
          <w:rFonts w:ascii="Calibri" w:hAnsi="Calibri" w:cs="Calibri"/>
        </w:rPr>
      </w:pPr>
      <w:r w:rsidRPr="00F54093">
        <w:rPr>
          <w:rFonts w:ascii="Calibri" w:hAnsi="Calibri" w:cs="Calibri"/>
        </w:rPr>
        <w:br w:type="page"/>
      </w:r>
      <w:r w:rsidRPr="00F54093">
        <w:rPr>
          <w:rFonts w:ascii="Calibri" w:hAnsi="Calibri" w:cs="Calibri"/>
        </w:rPr>
        <w:lastRenderedPageBreak/>
        <w:tab/>
      </w:r>
      <w:r w:rsidRPr="00F54093">
        <w:rPr>
          <w:rFonts w:ascii="Calibri" w:hAnsi="Calibri" w:cs="Calibri"/>
        </w:rPr>
        <w:tab/>
      </w:r>
    </w:p>
    <w:p w14:paraId="460ECB06" w14:textId="77777777" w:rsidR="001A3BEC" w:rsidRPr="00F54093" w:rsidRDefault="001A3BEC">
      <w:pPr>
        <w:ind w:left="-360"/>
        <w:rPr>
          <w:rFonts w:ascii="Calibri" w:hAnsi="Calibri" w:cs="Calibri"/>
        </w:rPr>
      </w:pPr>
    </w:p>
    <w:p w14:paraId="460ECB07" w14:textId="77777777" w:rsidR="00FE374D" w:rsidRPr="00F54093" w:rsidRDefault="00FE374D" w:rsidP="00FE374D">
      <w:pPr>
        <w:rPr>
          <w:rFonts w:ascii="Calibri" w:hAnsi="Calibri"/>
          <w:color w:val="4BACC6"/>
          <w:sz w:val="24"/>
        </w:rPr>
      </w:pPr>
      <w:bookmarkStart w:id="1" w:name="_Ref377387653"/>
      <w:bookmarkStart w:id="2" w:name="_Toc373244654"/>
      <w:bookmarkStart w:id="3" w:name="_Toc373244652"/>
      <w:bookmarkStart w:id="4" w:name="_Toc373244640"/>
      <w:r w:rsidRPr="00F54093">
        <w:rPr>
          <w:rFonts w:ascii="Calibri" w:hAnsi="Calibri"/>
          <w:color w:val="4BACC6"/>
          <w:sz w:val="24"/>
        </w:rPr>
        <w:tab/>
      </w:r>
      <w:r w:rsidRPr="00F54093">
        <w:rPr>
          <w:rFonts w:ascii="Calibri" w:hAnsi="Calibri"/>
          <w:color w:val="4BACC6"/>
          <w:sz w:val="24"/>
        </w:rPr>
        <w:tab/>
      </w:r>
    </w:p>
    <w:p w14:paraId="460ECB08" w14:textId="77777777" w:rsidR="00FE374D" w:rsidRPr="00F54093" w:rsidRDefault="00FE374D" w:rsidP="00FE374D">
      <w:pPr>
        <w:ind w:left="-360"/>
        <w:rPr>
          <w:rFonts w:ascii="Calibri" w:hAnsi="Calibri"/>
          <w:sz w:val="24"/>
        </w:rPr>
      </w:pPr>
    </w:p>
    <w:p w14:paraId="460ECB09" w14:textId="77777777" w:rsidR="00FE374D" w:rsidRPr="00F54093" w:rsidRDefault="00FE374D" w:rsidP="00FE374D">
      <w:pPr>
        <w:spacing w:before="140" w:after="140" w:line="280" w:lineRule="atLeast"/>
        <w:ind w:right="327"/>
        <w:rPr>
          <w:rFonts w:ascii="Calibri" w:hAnsi="Calibri"/>
          <w:b/>
          <w:sz w:val="24"/>
        </w:rPr>
      </w:pPr>
      <w:r w:rsidRPr="00F54093">
        <w:rPr>
          <w:rFonts w:ascii="Calibri" w:hAnsi="Calibri"/>
          <w:b/>
          <w:sz w:val="24"/>
        </w:rPr>
        <w:t xml:space="preserve">INDEX of CONTENTS </w:t>
      </w:r>
    </w:p>
    <w:p w14:paraId="2730F416" w14:textId="144DF8CE" w:rsidR="00B72DE4" w:rsidRDefault="00FE374D">
      <w:pPr>
        <w:pStyle w:val="TOC1"/>
        <w:tabs>
          <w:tab w:val="right" w:leader="dot" w:pos="8777"/>
        </w:tabs>
        <w:rPr>
          <w:rFonts w:asciiTheme="minorHAnsi" w:eastAsiaTheme="minorEastAsia" w:hAnsiTheme="minorHAnsi" w:cstheme="minorBidi"/>
          <w:b w:val="0"/>
          <w:bCs w:val="0"/>
          <w:caps w:val="0"/>
          <w:noProof/>
          <w:kern w:val="2"/>
          <w14:ligatures w14:val="standardContextual"/>
        </w:rPr>
      </w:pPr>
      <w:r w:rsidRPr="00F54093">
        <w:rPr>
          <w:i/>
          <w:sz w:val="20"/>
          <w:szCs w:val="20"/>
        </w:rPr>
        <w:fldChar w:fldCharType="begin"/>
      </w:r>
      <w:r w:rsidRPr="00F54093">
        <w:rPr>
          <w:i/>
          <w:sz w:val="20"/>
          <w:szCs w:val="20"/>
        </w:rPr>
        <w:instrText xml:space="preserve"> TOC \o "1-3" \h \z \u </w:instrText>
      </w:r>
      <w:r w:rsidRPr="00F54093">
        <w:rPr>
          <w:i/>
          <w:sz w:val="20"/>
          <w:szCs w:val="20"/>
        </w:rPr>
        <w:fldChar w:fldCharType="separate"/>
      </w:r>
      <w:hyperlink w:anchor="_Toc193702349" w:history="1">
        <w:r w:rsidR="00B72DE4" w:rsidRPr="007554C1">
          <w:rPr>
            <w:rStyle w:val="Hyperlink"/>
          </w:rPr>
          <w:t>REASONS FOR DECISIONS</w:t>
        </w:r>
        <w:r w:rsidR="00B72DE4">
          <w:rPr>
            <w:noProof/>
            <w:webHidden/>
          </w:rPr>
          <w:tab/>
        </w:r>
        <w:r w:rsidR="00B72DE4">
          <w:rPr>
            <w:noProof/>
            <w:webHidden/>
          </w:rPr>
          <w:fldChar w:fldCharType="begin"/>
        </w:r>
        <w:r w:rsidR="00B72DE4">
          <w:rPr>
            <w:noProof/>
            <w:webHidden/>
          </w:rPr>
          <w:instrText xml:space="preserve"> PAGEREF _Toc193702349 \h </w:instrText>
        </w:r>
        <w:r w:rsidR="00B72DE4">
          <w:rPr>
            <w:noProof/>
            <w:webHidden/>
          </w:rPr>
        </w:r>
        <w:r w:rsidR="00B72DE4">
          <w:rPr>
            <w:noProof/>
            <w:webHidden/>
          </w:rPr>
          <w:fldChar w:fldCharType="separate"/>
        </w:r>
        <w:r w:rsidR="00B72DE4">
          <w:rPr>
            <w:noProof/>
            <w:webHidden/>
          </w:rPr>
          <w:t>3</w:t>
        </w:r>
        <w:r w:rsidR="00B72DE4">
          <w:rPr>
            <w:noProof/>
            <w:webHidden/>
          </w:rPr>
          <w:fldChar w:fldCharType="end"/>
        </w:r>
      </w:hyperlink>
    </w:p>
    <w:p w14:paraId="1C10C676" w14:textId="44E03769" w:rsidR="00B72DE4" w:rsidRDefault="00B72DE4">
      <w:pPr>
        <w:pStyle w:val="TOC1"/>
        <w:tabs>
          <w:tab w:val="right" w:leader="dot" w:pos="8777"/>
        </w:tabs>
        <w:rPr>
          <w:rFonts w:asciiTheme="minorHAnsi" w:eastAsiaTheme="minorEastAsia" w:hAnsiTheme="minorHAnsi" w:cstheme="minorBidi"/>
          <w:b w:val="0"/>
          <w:bCs w:val="0"/>
          <w:caps w:val="0"/>
          <w:noProof/>
          <w:kern w:val="2"/>
          <w14:ligatures w14:val="standardContextual"/>
        </w:rPr>
      </w:pPr>
      <w:hyperlink w:anchor="_Toc193702350" w:history="1">
        <w:r w:rsidRPr="007554C1">
          <w:rPr>
            <w:rStyle w:val="Hyperlink"/>
          </w:rPr>
          <w:t>Submissions</w:t>
        </w:r>
        <w:r>
          <w:rPr>
            <w:noProof/>
            <w:webHidden/>
          </w:rPr>
          <w:tab/>
        </w:r>
        <w:r>
          <w:rPr>
            <w:noProof/>
            <w:webHidden/>
          </w:rPr>
          <w:fldChar w:fldCharType="begin"/>
        </w:r>
        <w:r>
          <w:rPr>
            <w:noProof/>
            <w:webHidden/>
          </w:rPr>
          <w:instrText xml:space="preserve"> PAGEREF _Toc193702350 \h </w:instrText>
        </w:r>
        <w:r>
          <w:rPr>
            <w:noProof/>
            <w:webHidden/>
          </w:rPr>
        </w:r>
        <w:r>
          <w:rPr>
            <w:noProof/>
            <w:webHidden/>
          </w:rPr>
          <w:fldChar w:fldCharType="separate"/>
        </w:r>
        <w:r>
          <w:rPr>
            <w:noProof/>
            <w:webHidden/>
          </w:rPr>
          <w:t>6</w:t>
        </w:r>
        <w:r>
          <w:rPr>
            <w:noProof/>
            <w:webHidden/>
          </w:rPr>
          <w:fldChar w:fldCharType="end"/>
        </w:r>
      </w:hyperlink>
    </w:p>
    <w:p w14:paraId="4A9A67DF" w14:textId="77755C29" w:rsidR="00B72DE4" w:rsidRDefault="00B72DE4">
      <w:pPr>
        <w:pStyle w:val="TOC1"/>
        <w:tabs>
          <w:tab w:val="right" w:leader="dot" w:pos="8777"/>
        </w:tabs>
        <w:rPr>
          <w:rFonts w:asciiTheme="minorHAnsi" w:eastAsiaTheme="minorEastAsia" w:hAnsiTheme="minorHAnsi" w:cstheme="minorBidi"/>
          <w:b w:val="0"/>
          <w:bCs w:val="0"/>
          <w:caps w:val="0"/>
          <w:noProof/>
          <w:kern w:val="2"/>
          <w14:ligatures w14:val="standardContextual"/>
        </w:rPr>
      </w:pPr>
      <w:hyperlink w:anchor="_Toc193702351" w:history="1">
        <w:r w:rsidRPr="007554C1">
          <w:rPr>
            <w:rStyle w:val="Hyperlink"/>
          </w:rPr>
          <w:t>Council's decisions on the relevant SOUND MEDICAL-SCIENTIFIC EVIDENCE</w:t>
        </w:r>
        <w:r>
          <w:rPr>
            <w:noProof/>
            <w:webHidden/>
          </w:rPr>
          <w:tab/>
        </w:r>
        <w:r>
          <w:rPr>
            <w:noProof/>
            <w:webHidden/>
          </w:rPr>
          <w:fldChar w:fldCharType="begin"/>
        </w:r>
        <w:r>
          <w:rPr>
            <w:noProof/>
            <w:webHidden/>
          </w:rPr>
          <w:instrText xml:space="preserve"> PAGEREF _Toc193702351 \h </w:instrText>
        </w:r>
        <w:r>
          <w:rPr>
            <w:noProof/>
            <w:webHidden/>
          </w:rPr>
        </w:r>
        <w:r>
          <w:rPr>
            <w:noProof/>
            <w:webHidden/>
          </w:rPr>
          <w:fldChar w:fldCharType="separate"/>
        </w:r>
        <w:r>
          <w:rPr>
            <w:noProof/>
            <w:webHidden/>
          </w:rPr>
          <w:t>7</w:t>
        </w:r>
        <w:r>
          <w:rPr>
            <w:noProof/>
            <w:webHidden/>
          </w:rPr>
          <w:fldChar w:fldCharType="end"/>
        </w:r>
      </w:hyperlink>
    </w:p>
    <w:p w14:paraId="208FA909" w14:textId="6D8A04B6" w:rsidR="00B72DE4" w:rsidRDefault="00B72DE4">
      <w:pPr>
        <w:pStyle w:val="TOC1"/>
        <w:tabs>
          <w:tab w:val="right" w:leader="dot" w:pos="8777"/>
        </w:tabs>
        <w:rPr>
          <w:rFonts w:asciiTheme="minorHAnsi" w:eastAsiaTheme="minorEastAsia" w:hAnsiTheme="minorHAnsi" w:cstheme="minorBidi"/>
          <w:b w:val="0"/>
          <w:bCs w:val="0"/>
          <w:caps w:val="0"/>
          <w:noProof/>
          <w:kern w:val="2"/>
          <w14:ligatures w14:val="standardContextual"/>
        </w:rPr>
      </w:pPr>
      <w:hyperlink w:anchor="_Toc193702352" w:history="1">
        <w:r w:rsidRPr="007554C1">
          <w:rPr>
            <w:rStyle w:val="Hyperlink"/>
          </w:rPr>
          <w:t>COUNCIL’S EVALUATION OF THE SOUND MEDICAL-SCIENTIFIC EVIDENCE</w:t>
        </w:r>
        <w:r>
          <w:rPr>
            <w:noProof/>
            <w:webHidden/>
          </w:rPr>
          <w:tab/>
        </w:r>
        <w:r>
          <w:rPr>
            <w:noProof/>
            <w:webHidden/>
          </w:rPr>
          <w:fldChar w:fldCharType="begin"/>
        </w:r>
        <w:r>
          <w:rPr>
            <w:noProof/>
            <w:webHidden/>
          </w:rPr>
          <w:instrText xml:space="preserve"> PAGEREF _Toc193702352 \h </w:instrText>
        </w:r>
        <w:r>
          <w:rPr>
            <w:noProof/>
            <w:webHidden/>
          </w:rPr>
        </w:r>
        <w:r>
          <w:rPr>
            <w:noProof/>
            <w:webHidden/>
          </w:rPr>
          <w:fldChar w:fldCharType="separate"/>
        </w:r>
        <w:r>
          <w:rPr>
            <w:noProof/>
            <w:webHidden/>
          </w:rPr>
          <w:t>7</w:t>
        </w:r>
        <w:r>
          <w:rPr>
            <w:noProof/>
            <w:webHidden/>
          </w:rPr>
          <w:fldChar w:fldCharType="end"/>
        </w:r>
      </w:hyperlink>
    </w:p>
    <w:p w14:paraId="42547BA3" w14:textId="7D82B27A" w:rsidR="00B72DE4" w:rsidRDefault="00B72DE4">
      <w:pPr>
        <w:pStyle w:val="TOC1"/>
        <w:tabs>
          <w:tab w:val="right" w:leader="dot" w:pos="8777"/>
        </w:tabs>
        <w:rPr>
          <w:rFonts w:asciiTheme="minorHAnsi" w:eastAsiaTheme="minorEastAsia" w:hAnsiTheme="minorHAnsi" w:cstheme="minorBidi"/>
          <w:b w:val="0"/>
          <w:bCs w:val="0"/>
          <w:caps w:val="0"/>
          <w:noProof/>
          <w:kern w:val="2"/>
          <w14:ligatures w14:val="standardContextual"/>
        </w:rPr>
      </w:pPr>
      <w:hyperlink w:anchor="_Toc193702353" w:history="1">
        <w:r w:rsidRPr="007554C1">
          <w:rPr>
            <w:rStyle w:val="Hyperlink"/>
          </w:rPr>
          <w:t>COUNCIL’S CONCLUSIONS ON THE RELEVANT SOUND MEDICAL-SCIENTIFIC EVIDENCE</w:t>
        </w:r>
        <w:r>
          <w:rPr>
            <w:noProof/>
            <w:webHidden/>
          </w:rPr>
          <w:tab/>
        </w:r>
        <w:r>
          <w:rPr>
            <w:noProof/>
            <w:webHidden/>
          </w:rPr>
          <w:fldChar w:fldCharType="begin"/>
        </w:r>
        <w:r>
          <w:rPr>
            <w:noProof/>
            <w:webHidden/>
          </w:rPr>
          <w:instrText xml:space="preserve"> PAGEREF _Toc193702353 \h </w:instrText>
        </w:r>
        <w:r>
          <w:rPr>
            <w:noProof/>
            <w:webHidden/>
          </w:rPr>
        </w:r>
        <w:r>
          <w:rPr>
            <w:noProof/>
            <w:webHidden/>
          </w:rPr>
          <w:fldChar w:fldCharType="separate"/>
        </w:r>
        <w:r>
          <w:rPr>
            <w:noProof/>
            <w:webHidden/>
          </w:rPr>
          <w:t>8</w:t>
        </w:r>
        <w:r>
          <w:rPr>
            <w:noProof/>
            <w:webHidden/>
          </w:rPr>
          <w:fldChar w:fldCharType="end"/>
        </w:r>
      </w:hyperlink>
    </w:p>
    <w:p w14:paraId="3E17ECFD" w14:textId="7812C859" w:rsidR="00B72DE4" w:rsidRDefault="00B72DE4">
      <w:pPr>
        <w:pStyle w:val="TOC1"/>
        <w:tabs>
          <w:tab w:val="right" w:leader="dot" w:pos="8777"/>
        </w:tabs>
        <w:rPr>
          <w:rFonts w:asciiTheme="minorHAnsi" w:eastAsiaTheme="minorEastAsia" w:hAnsiTheme="minorHAnsi" w:cstheme="minorBidi"/>
          <w:b w:val="0"/>
          <w:bCs w:val="0"/>
          <w:caps w:val="0"/>
          <w:noProof/>
          <w:kern w:val="2"/>
          <w14:ligatures w14:val="standardContextual"/>
        </w:rPr>
      </w:pPr>
      <w:hyperlink w:anchor="_Toc193702354" w:history="1">
        <w:r w:rsidRPr="007554C1">
          <w:rPr>
            <w:rStyle w:val="Hyperlink"/>
            <w:rFonts w:eastAsia="Calibri"/>
            <w:lang w:eastAsia="en-US"/>
          </w:rPr>
          <w:t>The council’s conclusions on whether there should be NEW factor(s) FOR HASHIMOTO thyroiditis</w:t>
        </w:r>
        <w:r>
          <w:rPr>
            <w:noProof/>
            <w:webHidden/>
          </w:rPr>
          <w:tab/>
        </w:r>
        <w:r>
          <w:rPr>
            <w:noProof/>
            <w:webHidden/>
          </w:rPr>
          <w:fldChar w:fldCharType="begin"/>
        </w:r>
        <w:r>
          <w:rPr>
            <w:noProof/>
            <w:webHidden/>
          </w:rPr>
          <w:instrText xml:space="preserve"> PAGEREF _Toc193702354 \h </w:instrText>
        </w:r>
        <w:r>
          <w:rPr>
            <w:noProof/>
            <w:webHidden/>
          </w:rPr>
        </w:r>
        <w:r>
          <w:rPr>
            <w:noProof/>
            <w:webHidden/>
          </w:rPr>
          <w:fldChar w:fldCharType="separate"/>
        </w:r>
        <w:r>
          <w:rPr>
            <w:noProof/>
            <w:webHidden/>
          </w:rPr>
          <w:t>11</w:t>
        </w:r>
        <w:r>
          <w:rPr>
            <w:noProof/>
            <w:webHidden/>
          </w:rPr>
          <w:fldChar w:fldCharType="end"/>
        </w:r>
      </w:hyperlink>
    </w:p>
    <w:p w14:paraId="36EB7868" w14:textId="17A2F250" w:rsidR="00B72DE4" w:rsidRDefault="00B72DE4">
      <w:pPr>
        <w:pStyle w:val="TOC1"/>
        <w:tabs>
          <w:tab w:val="right" w:leader="dot" w:pos="8777"/>
        </w:tabs>
        <w:rPr>
          <w:rFonts w:asciiTheme="minorHAnsi" w:eastAsiaTheme="minorEastAsia" w:hAnsiTheme="minorHAnsi" w:cstheme="minorBidi"/>
          <w:b w:val="0"/>
          <w:bCs w:val="0"/>
          <w:caps w:val="0"/>
          <w:noProof/>
          <w:kern w:val="2"/>
          <w14:ligatures w14:val="standardContextual"/>
        </w:rPr>
      </w:pPr>
      <w:hyperlink w:anchor="_Toc193702355" w:history="1">
        <w:r w:rsidRPr="007554C1">
          <w:rPr>
            <w:rStyle w:val="Hyperlink"/>
            <w:rFonts w:eastAsia="Calibri"/>
          </w:rPr>
          <w:t>The Council’s analysis of new information</w:t>
        </w:r>
        <w:r>
          <w:rPr>
            <w:noProof/>
            <w:webHidden/>
          </w:rPr>
          <w:tab/>
        </w:r>
        <w:r>
          <w:rPr>
            <w:noProof/>
            <w:webHidden/>
          </w:rPr>
          <w:fldChar w:fldCharType="begin"/>
        </w:r>
        <w:r>
          <w:rPr>
            <w:noProof/>
            <w:webHidden/>
          </w:rPr>
          <w:instrText xml:space="preserve"> PAGEREF _Toc193702355 \h </w:instrText>
        </w:r>
        <w:r>
          <w:rPr>
            <w:noProof/>
            <w:webHidden/>
          </w:rPr>
        </w:r>
        <w:r>
          <w:rPr>
            <w:noProof/>
            <w:webHidden/>
          </w:rPr>
          <w:fldChar w:fldCharType="separate"/>
        </w:r>
        <w:r>
          <w:rPr>
            <w:noProof/>
            <w:webHidden/>
          </w:rPr>
          <w:t>12</w:t>
        </w:r>
        <w:r>
          <w:rPr>
            <w:noProof/>
            <w:webHidden/>
          </w:rPr>
          <w:fldChar w:fldCharType="end"/>
        </w:r>
      </w:hyperlink>
    </w:p>
    <w:p w14:paraId="0277071A" w14:textId="37CE5332" w:rsidR="00B72DE4" w:rsidRDefault="00B72DE4">
      <w:pPr>
        <w:pStyle w:val="TOC1"/>
        <w:tabs>
          <w:tab w:val="right" w:leader="dot" w:pos="8777"/>
        </w:tabs>
        <w:rPr>
          <w:rFonts w:asciiTheme="minorHAnsi" w:eastAsiaTheme="minorEastAsia" w:hAnsiTheme="minorHAnsi" w:cstheme="minorBidi"/>
          <w:b w:val="0"/>
          <w:bCs w:val="0"/>
          <w:caps w:val="0"/>
          <w:noProof/>
          <w:kern w:val="2"/>
          <w14:ligatures w14:val="standardContextual"/>
        </w:rPr>
      </w:pPr>
      <w:hyperlink w:anchor="_Toc193702356" w:history="1">
        <w:r w:rsidRPr="007554C1">
          <w:rPr>
            <w:rStyle w:val="Hyperlink"/>
            <w:rFonts w:eastAsia="Calibri"/>
          </w:rPr>
          <w:t>Decision</w:t>
        </w:r>
        <w:r>
          <w:rPr>
            <w:noProof/>
            <w:webHidden/>
          </w:rPr>
          <w:tab/>
        </w:r>
        <w:r>
          <w:rPr>
            <w:noProof/>
            <w:webHidden/>
          </w:rPr>
          <w:fldChar w:fldCharType="begin"/>
        </w:r>
        <w:r>
          <w:rPr>
            <w:noProof/>
            <w:webHidden/>
          </w:rPr>
          <w:instrText xml:space="preserve"> PAGEREF _Toc193702356 \h </w:instrText>
        </w:r>
        <w:r>
          <w:rPr>
            <w:noProof/>
            <w:webHidden/>
          </w:rPr>
        </w:r>
        <w:r>
          <w:rPr>
            <w:noProof/>
            <w:webHidden/>
          </w:rPr>
          <w:fldChar w:fldCharType="separate"/>
        </w:r>
        <w:r>
          <w:rPr>
            <w:noProof/>
            <w:webHidden/>
          </w:rPr>
          <w:t>13</w:t>
        </w:r>
        <w:r>
          <w:rPr>
            <w:noProof/>
            <w:webHidden/>
          </w:rPr>
          <w:fldChar w:fldCharType="end"/>
        </w:r>
      </w:hyperlink>
    </w:p>
    <w:p w14:paraId="2B581157" w14:textId="7301AA72" w:rsidR="00B72DE4" w:rsidRDefault="00B72DE4">
      <w:pPr>
        <w:pStyle w:val="TOC1"/>
        <w:tabs>
          <w:tab w:val="right" w:leader="dot" w:pos="8777"/>
        </w:tabs>
        <w:rPr>
          <w:rFonts w:asciiTheme="minorHAnsi" w:eastAsiaTheme="minorEastAsia" w:hAnsiTheme="minorHAnsi" w:cstheme="minorBidi"/>
          <w:b w:val="0"/>
          <w:bCs w:val="0"/>
          <w:caps w:val="0"/>
          <w:noProof/>
          <w:kern w:val="2"/>
          <w14:ligatures w14:val="standardContextual"/>
        </w:rPr>
      </w:pPr>
      <w:hyperlink w:anchor="_Toc193702357" w:history="1">
        <w:r w:rsidRPr="007554C1">
          <w:rPr>
            <w:rStyle w:val="Hyperlink"/>
            <w:rFonts w:eastAsia="Calibri"/>
            <w:lang w:eastAsia="en-US"/>
          </w:rPr>
          <w:t>References</w:t>
        </w:r>
        <w:r>
          <w:rPr>
            <w:noProof/>
            <w:webHidden/>
          </w:rPr>
          <w:tab/>
        </w:r>
        <w:r>
          <w:rPr>
            <w:noProof/>
            <w:webHidden/>
          </w:rPr>
          <w:fldChar w:fldCharType="begin"/>
        </w:r>
        <w:r>
          <w:rPr>
            <w:noProof/>
            <w:webHidden/>
          </w:rPr>
          <w:instrText xml:space="preserve"> PAGEREF _Toc193702357 \h </w:instrText>
        </w:r>
        <w:r>
          <w:rPr>
            <w:noProof/>
            <w:webHidden/>
          </w:rPr>
        </w:r>
        <w:r>
          <w:rPr>
            <w:noProof/>
            <w:webHidden/>
          </w:rPr>
          <w:fldChar w:fldCharType="separate"/>
        </w:r>
        <w:r>
          <w:rPr>
            <w:noProof/>
            <w:webHidden/>
          </w:rPr>
          <w:t>14</w:t>
        </w:r>
        <w:r>
          <w:rPr>
            <w:noProof/>
            <w:webHidden/>
          </w:rPr>
          <w:fldChar w:fldCharType="end"/>
        </w:r>
      </w:hyperlink>
    </w:p>
    <w:p w14:paraId="6C9E067B" w14:textId="75901A47" w:rsidR="00B72DE4" w:rsidRDefault="00B72DE4">
      <w:pPr>
        <w:pStyle w:val="TOC1"/>
        <w:tabs>
          <w:tab w:val="right" w:leader="dot" w:pos="8777"/>
        </w:tabs>
        <w:rPr>
          <w:rFonts w:asciiTheme="minorHAnsi" w:eastAsiaTheme="minorEastAsia" w:hAnsiTheme="minorHAnsi" w:cstheme="minorBidi"/>
          <w:b w:val="0"/>
          <w:bCs w:val="0"/>
          <w:caps w:val="0"/>
          <w:noProof/>
          <w:kern w:val="2"/>
          <w14:ligatures w14:val="standardContextual"/>
        </w:rPr>
      </w:pPr>
      <w:hyperlink w:anchor="_Toc193702358" w:history="1">
        <w:r w:rsidRPr="007554C1">
          <w:rPr>
            <w:rStyle w:val="Hyperlink"/>
          </w:rPr>
          <w:t>APPENDICES</w:t>
        </w:r>
        <w:r>
          <w:rPr>
            <w:noProof/>
            <w:webHidden/>
          </w:rPr>
          <w:tab/>
        </w:r>
        <w:r>
          <w:rPr>
            <w:noProof/>
            <w:webHidden/>
          </w:rPr>
          <w:fldChar w:fldCharType="begin"/>
        </w:r>
        <w:r>
          <w:rPr>
            <w:noProof/>
            <w:webHidden/>
          </w:rPr>
          <w:instrText xml:space="preserve"> PAGEREF _Toc193702358 \h </w:instrText>
        </w:r>
        <w:r>
          <w:rPr>
            <w:noProof/>
            <w:webHidden/>
          </w:rPr>
        </w:r>
        <w:r>
          <w:rPr>
            <w:noProof/>
            <w:webHidden/>
          </w:rPr>
          <w:fldChar w:fldCharType="separate"/>
        </w:r>
        <w:r>
          <w:rPr>
            <w:noProof/>
            <w:webHidden/>
          </w:rPr>
          <w:t>15</w:t>
        </w:r>
        <w:r>
          <w:rPr>
            <w:noProof/>
            <w:webHidden/>
          </w:rPr>
          <w:fldChar w:fldCharType="end"/>
        </w:r>
      </w:hyperlink>
    </w:p>
    <w:p w14:paraId="056B7F4B" w14:textId="260F4416" w:rsidR="00B72DE4" w:rsidRDefault="00B72DE4">
      <w:pPr>
        <w:pStyle w:val="TOC2"/>
        <w:tabs>
          <w:tab w:val="right" w:leader="dot" w:pos="8777"/>
        </w:tabs>
        <w:rPr>
          <w:rFonts w:asciiTheme="minorHAnsi" w:eastAsiaTheme="minorEastAsia" w:hAnsiTheme="minorHAnsi" w:cstheme="minorBidi"/>
          <w:bCs w:val="0"/>
          <w:noProof/>
          <w:kern w:val="2"/>
          <w:sz w:val="24"/>
          <w:szCs w:val="24"/>
          <w14:ligatures w14:val="standardContextual"/>
        </w:rPr>
      </w:pPr>
      <w:hyperlink w:anchor="_Toc193702359" w:history="1">
        <w:r w:rsidRPr="007554C1">
          <w:rPr>
            <w:rStyle w:val="Hyperlink"/>
          </w:rPr>
          <w:t>APPENDIX A: TABLE 1  MATERIAL BEFORE THE RMA</w:t>
        </w:r>
        <w:r>
          <w:rPr>
            <w:noProof/>
            <w:webHidden/>
          </w:rPr>
          <w:tab/>
        </w:r>
        <w:r>
          <w:rPr>
            <w:noProof/>
            <w:webHidden/>
          </w:rPr>
          <w:fldChar w:fldCharType="begin"/>
        </w:r>
        <w:r>
          <w:rPr>
            <w:noProof/>
            <w:webHidden/>
          </w:rPr>
          <w:instrText xml:space="preserve"> PAGEREF _Toc193702359 \h </w:instrText>
        </w:r>
        <w:r>
          <w:rPr>
            <w:noProof/>
            <w:webHidden/>
          </w:rPr>
        </w:r>
        <w:r>
          <w:rPr>
            <w:noProof/>
            <w:webHidden/>
          </w:rPr>
          <w:fldChar w:fldCharType="separate"/>
        </w:r>
        <w:r>
          <w:rPr>
            <w:noProof/>
            <w:webHidden/>
          </w:rPr>
          <w:t>15</w:t>
        </w:r>
        <w:r>
          <w:rPr>
            <w:noProof/>
            <w:webHidden/>
          </w:rPr>
          <w:fldChar w:fldCharType="end"/>
        </w:r>
      </w:hyperlink>
    </w:p>
    <w:p w14:paraId="07FF1539" w14:textId="610584B3" w:rsidR="00B72DE4" w:rsidRDefault="00B72DE4">
      <w:pPr>
        <w:pStyle w:val="TOC2"/>
        <w:tabs>
          <w:tab w:val="right" w:leader="dot" w:pos="8777"/>
        </w:tabs>
        <w:rPr>
          <w:rFonts w:asciiTheme="minorHAnsi" w:eastAsiaTheme="minorEastAsia" w:hAnsiTheme="minorHAnsi" w:cstheme="minorBidi"/>
          <w:bCs w:val="0"/>
          <w:noProof/>
          <w:kern w:val="2"/>
          <w:sz w:val="24"/>
          <w:szCs w:val="24"/>
          <w14:ligatures w14:val="standardContextual"/>
        </w:rPr>
      </w:pPr>
      <w:hyperlink w:anchor="_Toc193702360" w:history="1">
        <w:r w:rsidRPr="007554C1">
          <w:rPr>
            <w:rStyle w:val="Hyperlink"/>
          </w:rPr>
          <w:t>APPENDIX B:  THE CONSTITUTED COUNCIL AND LEGISLATIVE FRAMEWORK OF THE REVIEW</w:t>
        </w:r>
        <w:r>
          <w:rPr>
            <w:noProof/>
            <w:webHidden/>
          </w:rPr>
          <w:tab/>
        </w:r>
        <w:r>
          <w:rPr>
            <w:noProof/>
            <w:webHidden/>
          </w:rPr>
          <w:fldChar w:fldCharType="begin"/>
        </w:r>
        <w:r>
          <w:rPr>
            <w:noProof/>
            <w:webHidden/>
          </w:rPr>
          <w:instrText xml:space="preserve"> PAGEREF _Toc193702360 \h </w:instrText>
        </w:r>
        <w:r>
          <w:rPr>
            <w:noProof/>
            <w:webHidden/>
          </w:rPr>
        </w:r>
        <w:r>
          <w:rPr>
            <w:noProof/>
            <w:webHidden/>
          </w:rPr>
          <w:fldChar w:fldCharType="separate"/>
        </w:r>
        <w:r>
          <w:rPr>
            <w:noProof/>
            <w:webHidden/>
          </w:rPr>
          <w:t>35</w:t>
        </w:r>
        <w:r>
          <w:rPr>
            <w:noProof/>
            <w:webHidden/>
          </w:rPr>
          <w:fldChar w:fldCharType="end"/>
        </w:r>
      </w:hyperlink>
    </w:p>
    <w:p w14:paraId="5FDDEF4A" w14:textId="71B29D19" w:rsidR="00B72DE4" w:rsidRDefault="00B72DE4">
      <w:pPr>
        <w:pStyle w:val="TOC2"/>
        <w:tabs>
          <w:tab w:val="right" w:leader="dot" w:pos="8777"/>
        </w:tabs>
        <w:rPr>
          <w:rFonts w:asciiTheme="minorHAnsi" w:eastAsiaTheme="minorEastAsia" w:hAnsiTheme="minorHAnsi" w:cstheme="minorBidi"/>
          <w:bCs w:val="0"/>
          <w:noProof/>
          <w:kern w:val="2"/>
          <w:sz w:val="24"/>
          <w:szCs w:val="24"/>
          <w14:ligatures w14:val="standardContextual"/>
        </w:rPr>
      </w:pPr>
      <w:hyperlink w:anchor="_Toc193702361" w:history="1">
        <w:r w:rsidRPr="007554C1">
          <w:rPr>
            <w:rStyle w:val="Hyperlink"/>
          </w:rPr>
          <w:t xml:space="preserve">APPENDIX C:  TABLE 1 </w:t>
        </w:r>
        <w:r w:rsidRPr="007554C1">
          <w:rPr>
            <w:rStyle w:val="Hyperlink"/>
            <w:caps/>
          </w:rPr>
          <w:t>List of abbreviations</w:t>
        </w:r>
        <w:r>
          <w:rPr>
            <w:noProof/>
            <w:webHidden/>
          </w:rPr>
          <w:tab/>
        </w:r>
        <w:r>
          <w:rPr>
            <w:noProof/>
            <w:webHidden/>
          </w:rPr>
          <w:fldChar w:fldCharType="begin"/>
        </w:r>
        <w:r>
          <w:rPr>
            <w:noProof/>
            <w:webHidden/>
          </w:rPr>
          <w:instrText xml:space="preserve"> PAGEREF _Toc193702361 \h </w:instrText>
        </w:r>
        <w:r>
          <w:rPr>
            <w:noProof/>
            <w:webHidden/>
          </w:rPr>
        </w:r>
        <w:r>
          <w:rPr>
            <w:noProof/>
            <w:webHidden/>
          </w:rPr>
          <w:fldChar w:fldCharType="separate"/>
        </w:r>
        <w:r>
          <w:rPr>
            <w:noProof/>
            <w:webHidden/>
          </w:rPr>
          <w:t>37</w:t>
        </w:r>
        <w:r>
          <w:rPr>
            <w:noProof/>
            <w:webHidden/>
          </w:rPr>
          <w:fldChar w:fldCharType="end"/>
        </w:r>
      </w:hyperlink>
    </w:p>
    <w:p w14:paraId="460ECB1F" w14:textId="6031E3F0" w:rsidR="00B528A3" w:rsidRPr="00F54093" w:rsidRDefault="00FE374D" w:rsidP="00FE374D">
      <w:pPr>
        <w:pStyle w:val="Heading1"/>
      </w:pPr>
      <w:r w:rsidRPr="00F54093">
        <w:rPr>
          <w:rFonts w:ascii="Arial" w:hAnsi="Arial" w:cs="Arial"/>
          <w:i/>
          <w:kern w:val="0"/>
          <w:sz w:val="20"/>
          <w:szCs w:val="20"/>
        </w:rPr>
        <w:fldChar w:fldCharType="end"/>
      </w:r>
      <w:r w:rsidR="001A3BEC" w:rsidRPr="00F54093">
        <w:br w:type="page"/>
      </w:r>
      <w:bookmarkStart w:id="5" w:name="_Toc412714403"/>
      <w:bookmarkStart w:id="6" w:name="_Toc415481395"/>
      <w:bookmarkStart w:id="7" w:name="_Toc415563745"/>
      <w:bookmarkStart w:id="8" w:name="_Toc193702349"/>
      <w:bookmarkStart w:id="9" w:name="_Toc373244657"/>
      <w:bookmarkEnd w:id="1"/>
      <w:r w:rsidR="00B528A3" w:rsidRPr="00F54093">
        <w:lastRenderedPageBreak/>
        <w:t>REASONS FOR DECISIONS</w:t>
      </w:r>
      <w:bookmarkEnd w:id="5"/>
      <w:bookmarkEnd w:id="6"/>
      <w:bookmarkEnd w:id="7"/>
      <w:bookmarkEnd w:id="8"/>
    </w:p>
    <w:p w14:paraId="76546848" w14:textId="77777777" w:rsidR="00482CF4" w:rsidRDefault="00482CF4" w:rsidP="00482CF4">
      <w:pPr>
        <w:rPr>
          <w:rStyle w:val="Emphasis"/>
          <w:b/>
          <w:bCs/>
          <w:iCs w:val="0"/>
          <w:sz w:val="20"/>
          <w:szCs w:val="20"/>
        </w:rPr>
      </w:pPr>
      <w:bookmarkStart w:id="10" w:name="_Toc412714404"/>
      <w:bookmarkStart w:id="11" w:name="_Toc415481396"/>
      <w:bookmarkStart w:id="12" w:name="_Toc415563746"/>
    </w:p>
    <w:p w14:paraId="460ECB20" w14:textId="264D1612" w:rsidR="00B528A3" w:rsidRPr="00E1318C" w:rsidRDefault="00FE374D" w:rsidP="00E1318C">
      <w:pPr>
        <w:rPr>
          <w:rStyle w:val="Emphasis"/>
          <w:sz w:val="20"/>
        </w:rPr>
      </w:pPr>
      <w:r w:rsidRPr="00E1318C">
        <w:rPr>
          <w:rStyle w:val="Emphasis"/>
          <w:sz w:val="20"/>
        </w:rPr>
        <w:t>Introduction</w:t>
      </w:r>
      <w:bookmarkEnd w:id="10"/>
      <w:bookmarkEnd w:id="11"/>
      <w:bookmarkEnd w:id="12"/>
    </w:p>
    <w:p w14:paraId="7377CAF1" w14:textId="77777777" w:rsidR="00334117" w:rsidRDefault="000E6C62" w:rsidP="00116DCE">
      <w:pPr>
        <w:pStyle w:val="ListParagraph"/>
        <w:numPr>
          <w:ilvl w:val="0"/>
          <w:numId w:val="21"/>
        </w:numPr>
        <w:rPr>
          <w:rFonts w:ascii="Calibri" w:hAnsi="Calibri" w:cs="Calibri"/>
          <w:sz w:val="24"/>
        </w:rPr>
      </w:pPr>
      <w:bookmarkStart w:id="13" w:name="_Ref378759465"/>
      <w:r w:rsidRPr="000E6C62">
        <w:rPr>
          <w:rFonts w:ascii="Calibri" w:hAnsi="Calibri" w:cs="Calibri"/>
          <w:sz w:val="24"/>
        </w:rPr>
        <w:t xml:space="preserve">In relation to the Repatriation Medical Authority (the RMA) </w:t>
      </w:r>
      <w:r w:rsidR="00134E88" w:rsidRPr="00134E88">
        <w:rPr>
          <w:rFonts w:ascii="Calibri" w:hAnsi="Calibri" w:cs="Calibri"/>
          <w:sz w:val="24"/>
        </w:rPr>
        <w:t>Statements of Principles for Nos. 01 and 02 of 2022 concerning Hashimoto thyroiditis</w:t>
      </w:r>
      <w:r w:rsidR="00134E88">
        <w:rPr>
          <w:rFonts w:ascii="Calibri" w:hAnsi="Calibri" w:cs="Calibri"/>
          <w:sz w:val="24"/>
        </w:rPr>
        <w:t>,</w:t>
      </w:r>
      <w:r w:rsidR="00134E88" w:rsidRPr="00134E88">
        <w:rPr>
          <w:rFonts w:ascii="Calibri" w:hAnsi="Calibri" w:cs="Calibri"/>
          <w:sz w:val="24"/>
        </w:rPr>
        <w:t xml:space="preserve"> </w:t>
      </w:r>
      <w:r w:rsidRPr="000E6C62">
        <w:rPr>
          <w:rFonts w:ascii="Calibri" w:hAnsi="Calibri" w:cs="Calibri"/>
          <w:sz w:val="24"/>
        </w:rPr>
        <w:t xml:space="preserve">made under subsection 196B of the Veterans’ Entitlements Act 1986 (the VEA), this document outlines the Reasons for Decisions (the Reasons) for the declaration and recommendation made by the Specialist Medical Review Council (SMRC) for these Statements of Principles to be amended. </w:t>
      </w:r>
    </w:p>
    <w:p w14:paraId="7ACB5203" w14:textId="77777777" w:rsidR="00481143" w:rsidRDefault="00481143" w:rsidP="00481143">
      <w:pPr>
        <w:pStyle w:val="ListParagraph"/>
        <w:ind w:left="720"/>
        <w:rPr>
          <w:rFonts w:ascii="Calibri" w:hAnsi="Calibri" w:cs="Calibri"/>
          <w:sz w:val="24"/>
        </w:rPr>
      </w:pPr>
    </w:p>
    <w:p w14:paraId="0EE09D0D" w14:textId="144FFC26" w:rsidR="000E6C62" w:rsidRPr="000E6C62" w:rsidRDefault="000E6C62" w:rsidP="00116DCE">
      <w:pPr>
        <w:pStyle w:val="ListParagraph"/>
        <w:numPr>
          <w:ilvl w:val="0"/>
          <w:numId w:val="21"/>
        </w:numPr>
        <w:rPr>
          <w:rFonts w:ascii="Calibri" w:hAnsi="Calibri" w:cs="Calibri"/>
          <w:sz w:val="24"/>
        </w:rPr>
      </w:pPr>
      <w:r w:rsidRPr="000E6C62">
        <w:rPr>
          <w:rFonts w:ascii="Calibri" w:hAnsi="Calibri" w:cs="Calibri"/>
          <w:sz w:val="24"/>
        </w:rPr>
        <w:t>This section of the Reasons will introduce the role of the SMRC</w:t>
      </w:r>
      <w:r w:rsidR="00DB0FFD">
        <w:rPr>
          <w:rFonts w:ascii="Calibri" w:hAnsi="Calibri" w:cs="Calibri"/>
          <w:sz w:val="24"/>
        </w:rPr>
        <w:t xml:space="preserve"> (the Council)</w:t>
      </w:r>
      <w:r w:rsidRPr="000E6C62">
        <w:rPr>
          <w:rFonts w:ascii="Calibri" w:hAnsi="Calibri" w:cs="Calibri"/>
          <w:sz w:val="24"/>
        </w:rPr>
        <w:t xml:space="preserve">, the events that led to a review of these Statements of Principles by the </w:t>
      </w:r>
      <w:r w:rsidR="00B01714">
        <w:rPr>
          <w:rFonts w:ascii="Calibri" w:hAnsi="Calibri" w:cs="Calibri"/>
          <w:sz w:val="24"/>
        </w:rPr>
        <w:t>Council</w:t>
      </w:r>
      <w:r w:rsidRPr="000E6C62">
        <w:rPr>
          <w:rFonts w:ascii="Calibri" w:hAnsi="Calibri" w:cs="Calibri"/>
          <w:sz w:val="24"/>
        </w:rPr>
        <w:t>, and the types of information and how they were considered in this review</w:t>
      </w:r>
      <w:r w:rsidR="007A3055">
        <w:rPr>
          <w:rFonts w:ascii="Calibri" w:hAnsi="Calibri" w:cs="Calibri"/>
          <w:sz w:val="24"/>
        </w:rPr>
        <w:t xml:space="preserve">. </w:t>
      </w:r>
      <w:r w:rsidRPr="000E6C62">
        <w:rPr>
          <w:rFonts w:ascii="Calibri" w:hAnsi="Calibri" w:cs="Calibri"/>
          <w:sz w:val="24"/>
        </w:rPr>
        <w:t xml:space="preserve">  </w:t>
      </w:r>
    </w:p>
    <w:p w14:paraId="460ECB21" w14:textId="060DEBE3" w:rsidR="00B528A3" w:rsidRPr="00F54093" w:rsidRDefault="00B528A3" w:rsidP="00116DCE">
      <w:pPr>
        <w:numPr>
          <w:ilvl w:val="0"/>
          <w:numId w:val="21"/>
        </w:numPr>
        <w:spacing w:before="140" w:after="140" w:line="280" w:lineRule="atLeast"/>
        <w:rPr>
          <w:rFonts w:ascii="Calibri" w:hAnsi="Calibri" w:cs="Calibri"/>
          <w:sz w:val="24"/>
        </w:rPr>
      </w:pPr>
      <w:r w:rsidRPr="00F54093">
        <w:rPr>
          <w:rFonts w:ascii="Calibri" w:hAnsi="Calibri" w:cs="Calibri"/>
          <w:sz w:val="24"/>
        </w:rPr>
        <w:t xml:space="preserve">The </w:t>
      </w:r>
      <w:r w:rsidR="006A1498">
        <w:rPr>
          <w:rFonts w:ascii="Calibri" w:hAnsi="Calibri" w:cs="Calibri"/>
          <w:sz w:val="24"/>
        </w:rPr>
        <w:t>Council</w:t>
      </w:r>
      <w:r w:rsidRPr="00F54093">
        <w:rPr>
          <w:rFonts w:ascii="Calibri" w:hAnsi="Calibri" w:cs="Calibri"/>
          <w:sz w:val="24"/>
        </w:rPr>
        <w:t xml:space="preserve"> is an independent statutory body established by the VEA. In general terms, upon receipt of a valid application</w:t>
      </w:r>
      <w:r w:rsidR="00D82EBB">
        <w:rPr>
          <w:rFonts w:ascii="Calibri" w:hAnsi="Calibri" w:cs="Calibri"/>
          <w:sz w:val="24"/>
        </w:rPr>
        <w:t>,</w:t>
      </w:r>
      <w:r w:rsidRPr="00F54093">
        <w:rPr>
          <w:rFonts w:ascii="Calibri" w:hAnsi="Calibri" w:cs="Calibri"/>
          <w:sz w:val="24"/>
        </w:rPr>
        <w:t xml:space="preserve"> the Council is to review as relevant:</w:t>
      </w:r>
      <w:bookmarkEnd w:id="13"/>
    </w:p>
    <w:p w14:paraId="460ECB22" w14:textId="77777777" w:rsidR="00B528A3" w:rsidRPr="00F54093" w:rsidRDefault="00B528A3" w:rsidP="00116DCE">
      <w:pPr>
        <w:numPr>
          <w:ilvl w:val="0"/>
          <w:numId w:val="23"/>
        </w:numPr>
        <w:spacing w:after="140" w:line="280" w:lineRule="atLeast"/>
        <w:rPr>
          <w:rFonts w:ascii="Calibri" w:hAnsi="Calibri" w:cs="Calibri"/>
          <w:sz w:val="24"/>
        </w:rPr>
      </w:pPr>
      <w:r w:rsidRPr="00F54093">
        <w:rPr>
          <w:rFonts w:ascii="Calibri" w:hAnsi="Calibri" w:cs="Calibri"/>
          <w:sz w:val="24"/>
        </w:rPr>
        <w:t>the contents of Statement/s of Principles in respect of a particular kind of injury, disease or death; or</w:t>
      </w:r>
    </w:p>
    <w:p w14:paraId="460ECB23" w14:textId="77777777" w:rsidR="00B528A3" w:rsidRPr="00F54093" w:rsidRDefault="00B528A3" w:rsidP="00116DCE">
      <w:pPr>
        <w:numPr>
          <w:ilvl w:val="0"/>
          <w:numId w:val="23"/>
        </w:numPr>
        <w:spacing w:after="140" w:line="280" w:lineRule="atLeast"/>
        <w:rPr>
          <w:rFonts w:ascii="Calibri" w:hAnsi="Calibri" w:cs="Calibri"/>
          <w:sz w:val="24"/>
        </w:rPr>
      </w:pPr>
      <w:r w:rsidRPr="00F54093">
        <w:rPr>
          <w:rFonts w:ascii="Calibri" w:hAnsi="Calibri" w:cs="Calibri"/>
          <w:sz w:val="24"/>
        </w:rPr>
        <w:t>a decision of the RMA not to determine, not to amend, Statement/s of Principles in respect of a particular kind of injury, disease or death.</w:t>
      </w:r>
    </w:p>
    <w:p w14:paraId="52F3D0DC" w14:textId="04DA2C98" w:rsidR="001337D6" w:rsidRPr="001337D6" w:rsidRDefault="001337D6" w:rsidP="00116DCE">
      <w:pPr>
        <w:numPr>
          <w:ilvl w:val="0"/>
          <w:numId w:val="21"/>
        </w:numPr>
        <w:spacing w:before="140" w:after="140" w:line="280" w:lineRule="atLeast"/>
        <w:rPr>
          <w:rFonts w:ascii="Calibri" w:hAnsi="Calibri" w:cs="Calibri"/>
          <w:sz w:val="24"/>
        </w:rPr>
      </w:pPr>
      <w:r w:rsidRPr="001337D6">
        <w:rPr>
          <w:rFonts w:ascii="Calibri" w:hAnsi="Calibri" w:cs="Calibri"/>
          <w:sz w:val="24"/>
        </w:rPr>
        <w:t xml:space="preserve">In March 2022, the </w:t>
      </w:r>
      <w:r w:rsidR="006A1498">
        <w:rPr>
          <w:rFonts w:ascii="Calibri" w:hAnsi="Calibri" w:cs="Calibri"/>
          <w:sz w:val="24"/>
        </w:rPr>
        <w:t>Council</w:t>
      </w:r>
      <w:r w:rsidRPr="001337D6">
        <w:rPr>
          <w:rFonts w:ascii="Calibri" w:hAnsi="Calibri" w:cs="Calibri"/>
          <w:sz w:val="24"/>
        </w:rPr>
        <w:t xml:space="preserve"> received an application seeking a review of the </w:t>
      </w:r>
      <w:r w:rsidR="00ED61D0">
        <w:rPr>
          <w:rFonts w:ascii="Calibri" w:hAnsi="Calibri" w:cs="Calibri"/>
          <w:sz w:val="24"/>
        </w:rPr>
        <w:t>RMA</w:t>
      </w:r>
      <w:r w:rsidRPr="001337D6">
        <w:rPr>
          <w:rFonts w:ascii="Calibri" w:hAnsi="Calibri" w:cs="Calibri"/>
          <w:sz w:val="24"/>
        </w:rPr>
        <w:t xml:space="preserve"> decision </w:t>
      </w:r>
      <w:r w:rsidR="00017D33">
        <w:rPr>
          <w:rFonts w:ascii="Calibri" w:hAnsi="Calibri" w:cs="Calibri"/>
          <w:sz w:val="24"/>
        </w:rPr>
        <w:t>on 24 December 2021</w:t>
      </w:r>
      <w:r w:rsidRPr="001337D6">
        <w:rPr>
          <w:rFonts w:ascii="Calibri" w:hAnsi="Calibri" w:cs="Calibri"/>
          <w:sz w:val="24"/>
        </w:rPr>
        <w:t xml:space="preserve"> about the Statement</w:t>
      </w:r>
      <w:r w:rsidR="00EA2089">
        <w:rPr>
          <w:rFonts w:ascii="Calibri" w:hAnsi="Calibri" w:cs="Calibri"/>
          <w:sz w:val="24"/>
        </w:rPr>
        <w:t>s</w:t>
      </w:r>
      <w:r w:rsidRPr="001337D6">
        <w:rPr>
          <w:rFonts w:ascii="Calibri" w:hAnsi="Calibri" w:cs="Calibri"/>
          <w:sz w:val="24"/>
        </w:rPr>
        <w:t xml:space="preserve"> of Principles concerning Hashimoto thyroiditis (Nos. 01 and 02 of 2022). Following an investigation, the RMA decided to include new factors, listed in subsections 9(9) and 9(19), concerning having posttraumatic stress disorder in the Statement of Principles concerning Hashimoto thyroiditis (Reasonable Hypothesis) (No. 01 of 2022), but not the Statement of Principles concerning Hashimoto thyroiditis (Balance of Probabilities) (No. 2 of 2022).</w:t>
      </w:r>
    </w:p>
    <w:p w14:paraId="6EA05D7D" w14:textId="77777777" w:rsidR="001337D6" w:rsidRPr="001337D6" w:rsidRDefault="001337D6" w:rsidP="001337D6">
      <w:pPr>
        <w:spacing w:before="140" w:after="140" w:line="280" w:lineRule="atLeast"/>
        <w:ind w:left="720"/>
        <w:rPr>
          <w:rFonts w:ascii="Calibri" w:hAnsi="Calibri" w:cs="Calibri"/>
          <w:sz w:val="24"/>
        </w:rPr>
      </w:pPr>
      <w:r w:rsidRPr="001337D6">
        <w:rPr>
          <w:rFonts w:ascii="Calibri" w:hAnsi="Calibri" w:cs="Calibri"/>
          <w:sz w:val="24"/>
        </w:rPr>
        <w:t xml:space="preserve">Subsection 9 of the Statement of Principles concerning Hashimoto thyroiditis (Reasonable Hypothesis) (No. 01 of 2022) now includes the following factors: </w:t>
      </w:r>
    </w:p>
    <w:p w14:paraId="192F6EE3" w14:textId="449AEAF3" w:rsidR="001337D6" w:rsidRPr="00EE0D00" w:rsidRDefault="001337D6" w:rsidP="00EE0D00">
      <w:pPr>
        <w:spacing w:before="140" w:line="280" w:lineRule="atLeast"/>
        <w:ind w:left="720" w:firstLine="130"/>
        <w:rPr>
          <w:rFonts w:ascii="Calibri" w:hAnsi="Calibri" w:cs="Calibri"/>
          <w:szCs w:val="22"/>
        </w:rPr>
      </w:pPr>
      <w:r w:rsidRPr="00EE0D00">
        <w:rPr>
          <w:rFonts w:ascii="Calibri" w:hAnsi="Calibri" w:cs="Calibri"/>
          <w:szCs w:val="22"/>
        </w:rPr>
        <w:t xml:space="preserve">(9) having posttraumatic stress disorder at the time of the clinical onset of </w:t>
      </w:r>
    </w:p>
    <w:p w14:paraId="4BBDB249" w14:textId="77777777" w:rsidR="001337D6" w:rsidRPr="00EE0D00" w:rsidRDefault="001337D6" w:rsidP="00EE0D00">
      <w:pPr>
        <w:spacing w:before="140" w:line="280" w:lineRule="atLeast"/>
        <w:ind w:left="720" w:firstLine="130"/>
        <w:rPr>
          <w:rFonts w:ascii="Calibri" w:hAnsi="Calibri" w:cs="Calibri"/>
          <w:szCs w:val="22"/>
        </w:rPr>
      </w:pPr>
      <w:r w:rsidRPr="00EE0D00">
        <w:rPr>
          <w:rFonts w:ascii="Calibri" w:hAnsi="Calibri" w:cs="Calibri"/>
          <w:szCs w:val="22"/>
        </w:rPr>
        <w:t xml:space="preserve">Hashimoto </w:t>
      </w:r>
      <w:proofErr w:type="gramStart"/>
      <w:r w:rsidRPr="00EE0D00">
        <w:rPr>
          <w:rFonts w:ascii="Calibri" w:hAnsi="Calibri" w:cs="Calibri"/>
          <w:szCs w:val="22"/>
        </w:rPr>
        <w:t>thyroiditis;</w:t>
      </w:r>
      <w:proofErr w:type="gramEnd"/>
      <w:r w:rsidRPr="00EE0D00">
        <w:rPr>
          <w:rFonts w:ascii="Calibri" w:hAnsi="Calibri" w:cs="Calibri"/>
          <w:szCs w:val="22"/>
        </w:rPr>
        <w:t xml:space="preserve"> </w:t>
      </w:r>
    </w:p>
    <w:p w14:paraId="476D80B9" w14:textId="77777777" w:rsidR="001337D6" w:rsidRPr="00EE0D00" w:rsidRDefault="001337D6" w:rsidP="00EE0D00">
      <w:pPr>
        <w:spacing w:before="140" w:line="280" w:lineRule="atLeast"/>
        <w:ind w:left="720" w:firstLine="130"/>
        <w:rPr>
          <w:rFonts w:ascii="Calibri" w:hAnsi="Calibri" w:cs="Calibri"/>
          <w:szCs w:val="22"/>
        </w:rPr>
      </w:pPr>
      <w:r w:rsidRPr="00EE0D00">
        <w:rPr>
          <w:rFonts w:ascii="Calibri" w:hAnsi="Calibri" w:cs="Calibri"/>
          <w:szCs w:val="22"/>
        </w:rPr>
        <w:t xml:space="preserve">(19) having posttraumatic stress disorder at the time of the clinical </w:t>
      </w:r>
    </w:p>
    <w:p w14:paraId="69B31511" w14:textId="56FAD3A0" w:rsidR="001337D6" w:rsidRPr="001A5090" w:rsidRDefault="001337D6" w:rsidP="001A5090">
      <w:pPr>
        <w:spacing w:before="140" w:line="280" w:lineRule="atLeast"/>
        <w:ind w:left="720" w:firstLine="130"/>
        <w:rPr>
          <w:rFonts w:ascii="Calibri" w:hAnsi="Calibri" w:cs="Calibri"/>
          <w:szCs w:val="22"/>
        </w:rPr>
      </w:pPr>
      <w:r w:rsidRPr="00EE0D00">
        <w:rPr>
          <w:rFonts w:ascii="Calibri" w:hAnsi="Calibri" w:cs="Calibri"/>
          <w:szCs w:val="22"/>
        </w:rPr>
        <w:t xml:space="preserve">worsening of Hashimoto </w:t>
      </w:r>
      <w:proofErr w:type="gramStart"/>
      <w:r w:rsidRPr="00EE0D00">
        <w:rPr>
          <w:rFonts w:ascii="Calibri" w:hAnsi="Calibri" w:cs="Calibri"/>
          <w:szCs w:val="22"/>
        </w:rPr>
        <w:t>thyroiditis;</w:t>
      </w:r>
      <w:proofErr w:type="gramEnd"/>
    </w:p>
    <w:p w14:paraId="460ECB24" w14:textId="2F77CA83" w:rsidR="00B528A3" w:rsidRPr="00F54093" w:rsidRDefault="00B528A3" w:rsidP="00116DCE">
      <w:pPr>
        <w:numPr>
          <w:ilvl w:val="0"/>
          <w:numId w:val="21"/>
        </w:numPr>
        <w:spacing w:before="140" w:after="140" w:line="280" w:lineRule="atLeast"/>
        <w:rPr>
          <w:rFonts w:ascii="Calibri" w:hAnsi="Calibri" w:cs="Calibri"/>
          <w:sz w:val="24"/>
        </w:rPr>
      </w:pPr>
      <w:r w:rsidRPr="00F54093">
        <w:rPr>
          <w:rFonts w:ascii="Calibri" w:hAnsi="Calibri" w:cs="Calibri"/>
          <w:sz w:val="24"/>
        </w:rPr>
        <w:t xml:space="preserve">In conducting a review, the Council must review </w:t>
      </w:r>
      <w:proofErr w:type="gramStart"/>
      <w:r w:rsidRPr="00F54093">
        <w:rPr>
          <w:rFonts w:ascii="Calibri" w:hAnsi="Calibri" w:cs="Calibri"/>
          <w:sz w:val="24"/>
        </w:rPr>
        <w:t>all of</w:t>
      </w:r>
      <w:proofErr w:type="gramEnd"/>
      <w:r w:rsidRPr="00F54093">
        <w:rPr>
          <w:rFonts w:ascii="Calibri" w:hAnsi="Calibri" w:cs="Calibri"/>
          <w:sz w:val="24"/>
        </w:rPr>
        <w:t xml:space="preserve"> the information (and only that information) available to the RMA when it made the decision under review. This is information </w:t>
      </w:r>
      <w:r w:rsidR="00413868">
        <w:rPr>
          <w:rFonts w:ascii="Calibri" w:hAnsi="Calibri" w:cs="Calibri"/>
          <w:sz w:val="24"/>
        </w:rPr>
        <w:t xml:space="preserve">that </w:t>
      </w:r>
      <w:r w:rsidR="00376544">
        <w:rPr>
          <w:rFonts w:ascii="Calibri" w:hAnsi="Calibri" w:cs="Calibri"/>
          <w:sz w:val="24"/>
        </w:rPr>
        <w:t>the RMA used</w:t>
      </w:r>
      <w:r w:rsidR="00413868">
        <w:rPr>
          <w:rFonts w:ascii="Calibri" w:hAnsi="Calibri" w:cs="Calibri"/>
          <w:sz w:val="24"/>
        </w:rPr>
        <w:t xml:space="preserve"> </w:t>
      </w:r>
      <w:r w:rsidR="00FF104F">
        <w:rPr>
          <w:rFonts w:ascii="Calibri" w:hAnsi="Calibri" w:cs="Calibri"/>
          <w:sz w:val="24"/>
        </w:rPr>
        <w:t>instead of</w:t>
      </w:r>
      <w:r w:rsidR="00413868">
        <w:rPr>
          <w:rFonts w:ascii="Calibri" w:hAnsi="Calibri" w:cs="Calibri"/>
          <w:sz w:val="24"/>
        </w:rPr>
        <w:t xml:space="preserve"> information that</w:t>
      </w:r>
      <w:r w:rsidRPr="00F54093">
        <w:rPr>
          <w:rFonts w:ascii="Calibri" w:hAnsi="Calibri" w:cs="Calibri"/>
          <w:sz w:val="24"/>
        </w:rPr>
        <w:t xml:space="preserve"> was generally available but not accessed by the RMA</w:t>
      </w:r>
      <w:r w:rsidR="007A3055">
        <w:rPr>
          <w:rFonts w:ascii="Calibri" w:hAnsi="Calibri" w:cs="Calibri"/>
          <w:sz w:val="24"/>
        </w:rPr>
        <w:t xml:space="preserve">. </w:t>
      </w:r>
      <w:r w:rsidRPr="00F54093">
        <w:rPr>
          <w:rFonts w:ascii="Calibri" w:hAnsi="Calibri" w:cs="Calibri"/>
          <w:sz w:val="24"/>
        </w:rPr>
        <w:t xml:space="preserve">A list of the information that was available to the RMA is listed in </w:t>
      </w:r>
      <w:r w:rsidRPr="00F54093">
        <w:rPr>
          <w:rFonts w:ascii="Calibri" w:hAnsi="Calibri" w:cs="Calibri"/>
          <w:b/>
          <w:sz w:val="24"/>
        </w:rPr>
        <w:t>Table 1 of Appendix A</w:t>
      </w:r>
      <w:r w:rsidRPr="00F54093">
        <w:rPr>
          <w:rFonts w:ascii="Calibri" w:hAnsi="Calibri" w:cs="Calibri"/>
          <w:sz w:val="24"/>
        </w:rPr>
        <w:t xml:space="preserve">. </w:t>
      </w:r>
    </w:p>
    <w:p w14:paraId="460ECB25" w14:textId="0505F9C3" w:rsidR="00B528A3" w:rsidRPr="00F54093" w:rsidRDefault="00B528A3" w:rsidP="00116DCE">
      <w:pPr>
        <w:numPr>
          <w:ilvl w:val="0"/>
          <w:numId w:val="21"/>
        </w:numPr>
        <w:spacing w:before="140" w:after="140" w:line="280" w:lineRule="atLeast"/>
        <w:rPr>
          <w:rFonts w:ascii="Calibri" w:hAnsi="Calibri" w:cs="Calibri"/>
          <w:sz w:val="24"/>
        </w:rPr>
      </w:pPr>
      <w:bookmarkStart w:id="14" w:name="_Ref378759625"/>
      <w:r w:rsidRPr="00F54093">
        <w:rPr>
          <w:rFonts w:ascii="Calibri" w:hAnsi="Calibri" w:cs="Calibri"/>
          <w:sz w:val="24"/>
        </w:rPr>
        <w:lastRenderedPageBreak/>
        <w:t>Fundamental to Statements of Principles, and so to a Council review, is the concept of sound medical-scientific evidence, as that term is defined in section 5</w:t>
      </w:r>
      <w:proofErr w:type="gramStart"/>
      <w:r w:rsidRPr="00F54093">
        <w:rPr>
          <w:rFonts w:ascii="Calibri" w:hAnsi="Calibri" w:cs="Calibri"/>
          <w:sz w:val="24"/>
        </w:rPr>
        <w:t>AB(</w:t>
      </w:r>
      <w:proofErr w:type="gramEnd"/>
      <w:r w:rsidRPr="00F54093">
        <w:rPr>
          <w:rFonts w:ascii="Calibri" w:hAnsi="Calibri" w:cs="Calibri"/>
          <w:sz w:val="24"/>
        </w:rPr>
        <w:t>2) of the VEA</w:t>
      </w:r>
      <w:r w:rsidRPr="00F54093">
        <w:rPr>
          <w:rFonts w:ascii="Calibri" w:hAnsi="Calibri" w:cs="Calibri"/>
          <w:vertAlign w:val="superscript"/>
        </w:rPr>
        <w:footnoteReference w:id="1"/>
      </w:r>
      <w:r w:rsidRPr="00F54093">
        <w:rPr>
          <w:rFonts w:ascii="Calibri" w:hAnsi="Calibri" w:cs="Calibri"/>
          <w:sz w:val="24"/>
        </w:rPr>
        <w:t>.</w:t>
      </w:r>
      <w:bookmarkEnd w:id="14"/>
      <w:r w:rsidRPr="00F54093">
        <w:rPr>
          <w:rFonts w:ascii="Calibri" w:hAnsi="Calibri" w:cs="Calibri"/>
          <w:sz w:val="24"/>
        </w:rPr>
        <w:t xml:space="preserve"> </w:t>
      </w:r>
    </w:p>
    <w:p w14:paraId="460ECB26" w14:textId="764DC0F4" w:rsidR="00B528A3" w:rsidRPr="00F54093" w:rsidRDefault="00B528A3" w:rsidP="00116DCE">
      <w:pPr>
        <w:numPr>
          <w:ilvl w:val="0"/>
          <w:numId w:val="21"/>
        </w:numPr>
        <w:spacing w:before="140" w:after="140" w:line="280" w:lineRule="atLeast"/>
        <w:rPr>
          <w:rFonts w:ascii="Calibri" w:hAnsi="Calibri" w:cs="Calibri"/>
          <w:sz w:val="24"/>
        </w:rPr>
      </w:pPr>
      <w:r w:rsidRPr="00F54093">
        <w:rPr>
          <w:rFonts w:ascii="Calibri" w:hAnsi="Calibri" w:cs="Calibri"/>
          <w:sz w:val="24"/>
        </w:rPr>
        <w:t xml:space="preserve">The </w:t>
      </w:r>
      <w:r w:rsidR="00FA179F" w:rsidRPr="00FA179F">
        <w:rPr>
          <w:rFonts w:ascii="Calibri" w:hAnsi="Calibri" w:cs="Calibri"/>
          <w:sz w:val="24"/>
        </w:rPr>
        <w:t>sound medical-scientific evidence</w:t>
      </w:r>
      <w:r w:rsidR="00FA179F">
        <w:rPr>
          <w:rFonts w:ascii="Calibri" w:hAnsi="Calibri" w:cs="Calibri"/>
          <w:sz w:val="24"/>
        </w:rPr>
        <w:t xml:space="preserve"> </w:t>
      </w:r>
      <w:r w:rsidRPr="00F54093">
        <w:rPr>
          <w:rFonts w:ascii="Calibri" w:hAnsi="Calibri" w:cs="Calibri"/>
          <w:sz w:val="24"/>
        </w:rPr>
        <w:t xml:space="preserve">relevant to this application (the relevant </w:t>
      </w:r>
      <w:r w:rsidR="00FA179F" w:rsidRPr="00FA179F">
        <w:rPr>
          <w:rFonts w:ascii="Calibri" w:hAnsi="Calibri" w:cs="Calibri"/>
          <w:sz w:val="24"/>
        </w:rPr>
        <w:t>sound medical-scientific evidence</w:t>
      </w:r>
      <w:r w:rsidRPr="00F54093">
        <w:rPr>
          <w:rFonts w:ascii="Calibri" w:hAnsi="Calibri" w:cs="Calibri"/>
          <w:sz w:val="24"/>
        </w:rPr>
        <w:t xml:space="preserve">) is listed in </w:t>
      </w:r>
      <w:r w:rsidR="00FA179F">
        <w:rPr>
          <w:rFonts w:ascii="Calibri" w:hAnsi="Calibri" w:cs="Calibri"/>
          <w:sz w:val="24"/>
        </w:rPr>
        <w:t xml:space="preserve">the </w:t>
      </w:r>
      <w:r w:rsidR="00EA54B5" w:rsidRPr="00EA54B5">
        <w:rPr>
          <w:rFonts w:ascii="Calibri" w:hAnsi="Calibri" w:cs="Calibri"/>
          <w:b/>
          <w:sz w:val="24"/>
        </w:rPr>
        <w:t>reference list at the end of this document</w:t>
      </w:r>
      <w:r w:rsidRPr="00F54093">
        <w:rPr>
          <w:rFonts w:ascii="Calibri" w:hAnsi="Calibri" w:cs="Calibri"/>
          <w:b/>
          <w:sz w:val="24"/>
        </w:rPr>
        <w:t>.</w:t>
      </w:r>
      <w:r w:rsidRPr="00F54093">
        <w:rPr>
          <w:rFonts w:ascii="Calibri" w:hAnsi="Calibri" w:cs="Calibri"/>
          <w:sz w:val="24"/>
        </w:rPr>
        <w:t xml:space="preserve"> </w:t>
      </w:r>
    </w:p>
    <w:p w14:paraId="460ECB28" w14:textId="77777777" w:rsidR="00B528A3" w:rsidRDefault="00B528A3" w:rsidP="00116DCE">
      <w:pPr>
        <w:numPr>
          <w:ilvl w:val="0"/>
          <w:numId w:val="21"/>
        </w:numPr>
        <w:spacing w:before="140" w:after="140" w:line="280" w:lineRule="atLeast"/>
        <w:rPr>
          <w:rFonts w:ascii="Calibri" w:hAnsi="Calibri" w:cs="Calibri"/>
          <w:sz w:val="24"/>
        </w:rPr>
      </w:pPr>
      <w:r w:rsidRPr="00F54093">
        <w:rPr>
          <w:rFonts w:ascii="Calibri" w:hAnsi="Calibri" w:cs="Calibri"/>
          <w:b/>
          <w:sz w:val="24"/>
        </w:rPr>
        <w:t>Appendix B</w:t>
      </w:r>
      <w:r w:rsidRPr="00F54093">
        <w:rPr>
          <w:rFonts w:ascii="Calibri" w:hAnsi="Calibri" w:cs="Calibri"/>
          <w:sz w:val="24"/>
        </w:rPr>
        <w:t xml:space="preserve"> sets out further details regarding the composition of the Council for this review and the legislation relating to the making of Statements of Principles.</w:t>
      </w:r>
    </w:p>
    <w:p w14:paraId="23556F73" w14:textId="2C469003" w:rsidR="00AB2C26" w:rsidRPr="00FB68FC" w:rsidRDefault="00FB68FC" w:rsidP="00116DCE">
      <w:pPr>
        <w:pStyle w:val="ListParagraph"/>
        <w:numPr>
          <w:ilvl w:val="0"/>
          <w:numId w:val="21"/>
        </w:numPr>
        <w:rPr>
          <w:rFonts w:ascii="Calibri" w:hAnsi="Calibri" w:cs="Calibri"/>
          <w:sz w:val="24"/>
        </w:rPr>
      </w:pPr>
      <w:r w:rsidRPr="00FB68FC">
        <w:rPr>
          <w:rFonts w:ascii="Calibri" w:hAnsi="Calibri" w:cs="Calibri"/>
          <w:b/>
          <w:bCs/>
          <w:sz w:val="24"/>
        </w:rPr>
        <w:t xml:space="preserve">Appendix C </w:t>
      </w:r>
      <w:r w:rsidRPr="00FB68FC">
        <w:rPr>
          <w:rFonts w:ascii="Calibri" w:hAnsi="Calibri" w:cs="Calibri"/>
          <w:sz w:val="24"/>
        </w:rPr>
        <w:t xml:space="preserve">provides a list of abbreviations used in these </w:t>
      </w:r>
      <w:r w:rsidR="00892B23">
        <w:rPr>
          <w:rFonts w:ascii="Calibri" w:hAnsi="Calibri" w:cs="Calibri"/>
          <w:sz w:val="24"/>
        </w:rPr>
        <w:t>R</w:t>
      </w:r>
      <w:r w:rsidRPr="00FB68FC">
        <w:rPr>
          <w:rFonts w:ascii="Calibri" w:hAnsi="Calibri" w:cs="Calibri"/>
          <w:sz w:val="24"/>
        </w:rPr>
        <w:t>easons.</w:t>
      </w:r>
    </w:p>
    <w:p w14:paraId="730F98C7" w14:textId="77777777" w:rsidR="00482CF4" w:rsidRDefault="00482CF4" w:rsidP="00482CF4">
      <w:pPr>
        <w:rPr>
          <w:rStyle w:val="Emphasis"/>
          <w:b/>
          <w:bCs/>
          <w:iCs w:val="0"/>
          <w:sz w:val="20"/>
          <w:szCs w:val="20"/>
        </w:rPr>
      </w:pPr>
      <w:bookmarkStart w:id="15" w:name="_Toc412714405"/>
      <w:bookmarkStart w:id="16" w:name="_Toc415481397"/>
      <w:bookmarkStart w:id="17" w:name="_Toc415563747"/>
    </w:p>
    <w:p w14:paraId="460ECB29" w14:textId="0E5F24B3" w:rsidR="00B528A3" w:rsidRPr="00E1318C" w:rsidRDefault="00FE374D" w:rsidP="00E1318C">
      <w:pPr>
        <w:rPr>
          <w:rStyle w:val="Emphasis"/>
          <w:sz w:val="20"/>
        </w:rPr>
      </w:pPr>
      <w:r w:rsidRPr="00E1318C">
        <w:rPr>
          <w:rStyle w:val="Emphasis"/>
          <w:sz w:val="20"/>
        </w:rPr>
        <w:t>Scope of this review</w:t>
      </w:r>
      <w:bookmarkEnd w:id="15"/>
      <w:bookmarkEnd w:id="16"/>
      <w:bookmarkEnd w:id="17"/>
      <w:r w:rsidRPr="00E1318C">
        <w:rPr>
          <w:rStyle w:val="Emphasis"/>
          <w:sz w:val="20"/>
        </w:rPr>
        <w:t xml:space="preserve"> </w:t>
      </w:r>
    </w:p>
    <w:p w14:paraId="23FFAC0D" w14:textId="330173C6" w:rsidR="00D23343" w:rsidRPr="001A5090" w:rsidRDefault="007816AE" w:rsidP="00116DCE">
      <w:pPr>
        <w:numPr>
          <w:ilvl w:val="0"/>
          <w:numId w:val="21"/>
        </w:numPr>
        <w:spacing w:before="140" w:after="140" w:line="280" w:lineRule="atLeast"/>
        <w:rPr>
          <w:rFonts w:ascii="Calibri" w:hAnsi="Calibri" w:cs="Calibri"/>
          <w:sz w:val="24"/>
        </w:rPr>
      </w:pPr>
      <w:r>
        <w:rPr>
          <w:rFonts w:ascii="Calibri" w:hAnsi="Calibri" w:cs="Calibri"/>
          <w:sz w:val="24"/>
        </w:rPr>
        <w:t xml:space="preserve">In </w:t>
      </w:r>
      <w:r w:rsidR="00560E0F">
        <w:rPr>
          <w:rFonts w:ascii="Calibri" w:hAnsi="Calibri" w:cs="Calibri"/>
          <w:sz w:val="24"/>
        </w:rPr>
        <w:t xml:space="preserve">his </w:t>
      </w:r>
      <w:r>
        <w:rPr>
          <w:rFonts w:ascii="Calibri" w:hAnsi="Calibri" w:cs="Calibri"/>
          <w:sz w:val="24"/>
        </w:rPr>
        <w:t>application, t</w:t>
      </w:r>
      <w:r w:rsidR="00D23343" w:rsidRPr="001337D6">
        <w:rPr>
          <w:rFonts w:ascii="Calibri" w:hAnsi="Calibri" w:cs="Calibri"/>
          <w:sz w:val="24"/>
        </w:rPr>
        <w:t xml:space="preserve">he Applicant contended that there was sound medical-scientific evidence (Jung et al. 2019 [RMA ID 102800], O’Donovan et al. 2015 [RMA ID 102934]) on which the RMA could have relied to amend both the Statements of Principles concerning Hashimoto thyroiditis (Nos. 01 and 02 of 2022). The Applicant requested the SMRC review the decision by the RMA to include factors linking posttraumatic stress disorder with Hashimoto thyroiditis, having </w:t>
      </w:r>
      <w:r w:rsidR="003A7796">
        <w:rPr>
          <w:rFonts w:ascii="Calibri" w:hAnsi="Calibri" w:cs="Calibri"/>
          <w:sz w:val="24"/>
        </w:rPr>
        <w:t>posttraumatic stress disorder</w:t>
      </w:r>
      <w:r w:rsidR="003A7796" w:rsidRPr="001337D6">
        <w:rPr>
          <w:rFonts w:ascii="Calibri" w:hAnsi="Calibri" w:cs="Calibri"/>
          <w:sz w:val="24"/>
        </w:rPr>
        <w:t xml:space="preserve"> </w:t>
      </w:r>
      <w:r w:rsidR="00D23343" w:rsidRPr="001337D6">
        <w:rPr>
          <w:rFonts w:ascii="Calibri" w:hAnsi="Calibri" w:cs="Calibri"/>
          <w:sz w:val="24"/>
        </w:rPr>
        <w:t xml:space="preserve">before the clinical onset of Hashimoto thyroiditis. </w:t>
      </w:r>
    </w:p>
    <w:p w14:paraId="460ECB2B" w14:textId="7A8D230D" w:rsidR="00B528A3" w:rsidRPr="00F54093" w:rsidRDefault="00B528A3" w:rsidP="00116DCE">
      <w:pPr>
        <w:numPr>
          <w:ilvl w:val="0"/>
          <w:numId w:val="21"/>
        </w:numPr>
        <w:spacing w:before="140" w:after="140" w:line="280" w:lineRule="atLeast"/>
        <w:rPr>
          <w:rFonts w:ascii="Calibri" w:hAnsi="Calibri" w:cs="Calibri"/>
          <w:sz w:val="24"/>
        </w:rPr>
      </w:pPr>
      <w:r w:rsidRPr="00F54093">
        <w:rPr>
          <w:rFonts w:ascii="Calibri" w:hAnsi="Calibri" w:cs="Calibri"/>
          <w:sz w:val="24"/>
        </w:rPr>
        <w:t xml:space="preserve">The Council, when reviewing the </w:t>
      </w:r>
      <w:r w:rsidR="00FA179F" w:rsidRPr="00FA179F">
        <w:rPr>
          <w:rFonts w:ascii="Calibri" w:hAnsi="Calibri" w:cs="Calibri"/>
          <w:sz w:val="24"/>
        </w:rPr>
        <w:t>sound medical-scientific evidence</w:t>
      </w:r>
      <w:r w:rsidRPr="00F54093">
        <w:rPr>
          <w:rFonts w:ascii="Calibri" w:hAnsi="Calibri" w:cs="Calibri"/>
          <w:sz w:val="24"/>
        </w:rPr>
        <w:t xml:space="preserve">, must determine </w:t>
      </w:r>
      <w:proofErr w:type="gramStart"/>
      <w:r w:rsidRPr="00F54093">
        <w:rPr>
          <w:rFonts w:ascii="Calibri" w:hAnsi="Calibri" w:cs="Calibri"/>
          <w:sz w:val="24"/>
        </w:rPr>
        <w:t>whether or not</w:t>
      </w:r>
      <w:proofErr w:type="gramEnd"/>
      <w:r w:rsidRPr="00F54093">
        <w:rPr>
          <w:rFonts w:ascii="Calibri" w:hAnsi="Calibri" w:cs="Calibri"/>
          <w:sz w:val="24"/>
        </w:rPr>
        <w:t xml:space="preserve"> there is </w:t>
      </w:r>
      <w:r w:rsidR="00FA179F" w:rsidRPr="00FA179F">
        <w:rPr>
          <w:rFonts w:ascii="Calibri" w:hAnsi="Calibri" w:cs="Calibri"/>
          <w:sz w:val="24"/>
        </w:rPr>
        <w:t>sound medical-scientific evidence</w:t>
      </w:r>
      <w:r w:rsidR="00FA179F">
        <w:rPr>
          <w:rFonts w:ascii="Calibri" w:hAnsi="Calibri" w:cs="Calibri"/>
          <w:sz w:val="24"/>
        </w:rPr>
        <w:t xml:space="preserve"> </w:t>
      </w:r>
      <w:r w:rsidR="00545A58">
        <w:rPr>
          <w:rFonts w:ascii="Calibri" w:hAnsi="Calibri" w:cs="Calibri"/>
          <w:sz w:val="24"/>
        </w:rPr>
        <w:t>that indicates</w:t>
      </w:r>
      <w:r w:rsidRPr="00F54093">
        <w:rPr>
          <w:rFonts w:ascii="Calibri" w:hAnsi="Calibri" w:cs="Calibri"/>
          <w:sz w:val="24"/>
        </w:rPr>
        <w:t xml:space="preserve"> a reasonable hypothesis</w:t>
      </w:r>
      <w:r w:rsidR="004F415C">
        <w:rPr>
          <w:rStyle w:val="FootnoteReference"/>
        </w:rPr>
        <w:footnoteReference w:id="2"/>
      </w:r>
      <w:r w:rsidRPr="00F54093">
        <w:rPr>
          <w:rFonts w:ascii="Calibri" w:hAnsi="Calibri" w:cs="Calibri"/>
          <w:sz w:val="24"/>
        </w:rPr>
        <w:t xml:space="preserve"> connecting the </w:t>
      </w:r>
      <w:proofErr w:type="gramStart"/>
      <w:r w:rsidRPr="00F54093">
        <w:rPr>
          <w:rFonts w:ascii="Calibri" w:hAnsi="Calibri" w:cs="Calibri"/>
          <w:sz w:val="24"/>
        </w:rPr>
        <w:t>particular injury</w:t>
      </w:r>
      <w:proofErr w:type="gramEnd"/>
      <w:r w:rsidRPr="00F54093">
        <w:rPr>
          <w:rFonts w:ascii="Calibri" w:hAnsi="Calibri" w:cs="Calibri"/>
          <w:sz w:val="24"/>
        </w:rPr>
        <w:t>, disease or death to the relevant service.</w:t>
      </w:r>
    </w:p>
    <w:p w14:paraId="460ECB2C" w14:textId="77777777" w:rsidR="00B528A3" w:rsidRPr="00F54093" w:rsidRDefault="00B528A3" w:rsidP="00116DCE">
      <w:pPr>
        <w:numPr>
          <w:ilvl w:val="0"/>
          <w:numId w:val="21"/>
        </w:numPr>
        <w:spacing w:before="140" w:after="140" w:line="280" w:lineRule="atLeast"/>
        <w:rPr>
          <w:rFonts w:ascii="Calibri" w:hAnsi="Calibri" w:cs="Calibri"/>
          <w:sz w:val="24"/>
        </w:rPr>
      </w:pPr>
      <w:r w:rsidRPr="00F54093">
        <w:rPr>
          <w:rFonts w:ascii="Calibri" w:hAnsi="Calibri" w:cs="Calibri"/>
          <w:sz w:val="24"/>
        </w:rPr>
        <w:lastRenderedPageBreak/>
        <w:t>In a reasonable hypothesis, the evidence 'points to' as opposed to merely 'leaves open' a link between injury, disease or death and the relevant service. In a reasonable hypothesis, the link is not ‘obviously fanciful, impossible, incredible or not tenable or too remote or too tenuous.’</w:t>
      </w:r>
      <w:r w:rsidRPr="00F54093">
        <w:rPr>
          <w:rFonts w:ascii="Calibri" w:hAnsi="Calibri" w:cs="Calibri"/>
          <w:sz w:val="24"/>
          <w:vertAlign w:val="superscript"/>
        </w:rPr>
        <w:footnoteReference w:id="3"/>
      </w:r>
      <w:r w:rsidRPr="00F54093">
        <w:rPr>
          <w:rFonts w:ascii="Calibri" w:hAnsi="Calibri" w:cs="Calibri"/>
          <w:sz w:val="24"/>
        </w:rPr>
        <w:t xml:space="preserve"> </w:t>
      </w:r>
    </w:p>
    <w:p w14:paraId="460ECB2D" w14:textId="55A1F89B" w:rsidR="00B528A3" w:rsidRPr="00F54093" w:rsidRDefault="00B528A3" w:rsidP="00116DCE">
      <w:pPr>
        <w:numPr>
          <w:ilvl w:val="0"/>
          <w:numId w:val="21"/>
        </w:numPr>
        <w:spacing w:before="140" w:after="140" w:line="280" w:lineRule="atLeast"/>
        <w:rPr>
          <w:rFonts w:ascii="Calibri" w:hAnsi="Calibri" w:cs="Calibri"/>
          <w:sz w:val="24"/>
        </w:rPr>
      </w:pPr>
      <w:r w:rsidRPr="00F54093">
        <w:rPr>
          <w:rFonts w:ascii="Calibri" w:hAnsi="Calibri" w:cs="Calibri"/>
          <w:sz w:val="24"/>
        </w:rPr>
        <w:t xml:space="preserve">If </w:t>
      </w:r>
      <w:r w:rsidR="00C77EFF">
        <w:rPr>
          <w:rFonts w:ascii="Calibri" w:hAnsi="Calibri" w:cs="Calibri"/>
          <w:sz w:val="24"/>
        </w:rPr>
        <w:t xml:space="preserve">the </w:t>
      </w:r>
      <w:r w:rsidRPr="00F54093">
        <w:rPr>
          <w:rFonts w:ascii="Calibri" w:hAnsi="Calibri" w:cs="Calibri"/>
          <w:sz w:val="24"/>
        </w:rPr>
        <w:t>Council is of the opinion that a reasonable hypothesis has been raised, the Council proceeds also to determine whether a connection exists to relevant service on the balance of probabilities</w:t>
      </w:r>
      <w:r w:rsidR="0012113B">
        <w:rPr>
          <w:rFonts w:ascii="Calibri" w:hAnsi="Calibri" w:cs="Calibri"/>
          <w:sz w:val="24"/>
        </w:rPr>
        <w:t xml:space="preserve"> (</w:t>
      </w:r>
      <w:r w:rsidR="0012113B" w:rsidRPr="00F54093">
        <w:rPr>
          <w:rFonts w:ascii="Calibri" w:hAnsi="Calibri" w:cs="Calibri"/>
          <w:sz w:val="24"/>
        </w:rPr>
        <w:t>i.e.</w:t>
      </w:r>
      <w:r w:rsidR="0012113B">
        <w:rPr>
          <w:rFonts w:ascii="Calibri" w:hAnsi="Calibri" w:cs="Calibri"/>
          <w:sz w:val="24"/>
        </w:rPr>
        <w:t>,</w:t>
      </w:r>
      <w:r w:rsidR="0012113B" w:rsidRPr="00F54093">
        <w:rPr>
          <w:rFonts w:ascii="Calibri" w:hAnsi="Calibri" w:cs="Calibri"/>
          <w:sz w:val="24"/>
        </w:rPr>
        <w:t xml:space="preserve"> whether the connection is more probable than not</w:t>
      </w:r>
      <w:r w:rsidR="0012113B">
        <w:rPr>
          <w:rFonts w:ascii="Calibri" w:hAnsi="Calibri" w:cs="Calibri"/>
          <w:sz w:val="24"/>
        </w:rPr>
        <w:t>)</w:t>
      </w:r>
      <w:r w:rsidRPr="00F54093">
        <w:rPr>
          <w:rFonts w:ascii="Calibri" w:hAnsi="Calibri" w:cs="Calibri"/>
          <w:sz w:val="24"/>
          <w:vertAlign w:val="superscript"/>
        </w:rPr>
        <w:footnoteReference w:id="4"/>
      </w:r>
      <w:r w:rsidRPr="00F54093">
        <w:rPr>
          <w:rFonts w:ascii="Calibri" w:hAnsi="Calibri" w:cs="Calibri"/>
          <w:sz w:val="24"/>
        </w:rPr>
        <w:t xml:space="preserve"> . </w:t>
      </w:r>
    </w:p>
    <w:p w14:paraId="460ECB2E" w14:textId="59C33F95" w:rsidR="00B528A3" w:rsidRPr="00F54093" w:rsidRDefault="00B528A3" w:rsidP="00116DCE">
      <w:pPr>
        <w:numPr>
          <w:ilvl w:val="0"/>
          <w:numId w:val="21"/>
        </w:numPr>
        <w:spacing w:before="140" w:after="140" w:line="280" w:lineRule="atLeast"/>
        <w:rPr>
          <w:rFonts w:ascii="Calibri" w:hAnsi="Calibri" w:cs="Calibri"/>
          <w:sz w:val="24"/>
        </w:rPr>
      </w:pPr>
      <w:r w:rsidRPr="00F54093">
        <w:rPr>
          <w:rFonts w:ascii="Calibri" w:hAnsi="Calibri" w:cs="Calibri"/>
          <w:sz w:val="24"/>
        </w:rPr>
        <w:t>In these Reasons the association for both the reasonable hypothesis test and the balance of probabilities test are referred to as the ‘relevant association’.</w:t>
      </w:r>
    </w:p>
    <w:p w14:paraId="460ECB2F" w14:textId="77777777" w:rsidR="00B528A3" w:rsidRPr="00F54093" w:rsidRDefault="00B528A3" w:rsidP="00116DCE">
      <w:pPr>
        <w:numPr>
          <w:ilvl w:val="0"/>
          <w:numId w:val="21"/>
        </w:numPr>
        <w:spacing w:before="140" w:after="140" w:line="280" w:lineRule="atLeast"/>
        <w:rPr>
          <w:rFonts w:ascii="Calibri" w:hAnsi="Calibri" w:cs="Calibri"/>
          <w:sz w:val="24"/>
        </w:rPr>
      </w:pPr>
      <w:r w:rsidRPr="00F54093">
        <w:rPr>
          <w:rFonts w:ascii="Calibri" w:hAnsi="Calibri" w:cs="Calibri"/>
          <w:sz w:val="24"/>
        </w:rPr>
        <w:t>The Council exercises its scientific judgement in weighing the evidence about the relevant association. </w:t>
      </w:r>
    </w:p>
    <w:p w14:paraId="01BB9296" w14:textId="77777777" w:rsidR="00482CF4" w:rsidRDefault="00482CF4" w:rsidP="00482CF4">
      <w:pPr>
        <w:rPr>
          <w:rStyle w:val="Emphasis"/>
          <w:b/>
          <w:bCs/>
          <w:iCs w:val="0"/>
          <w:sz w:val="20"/>
          <w:szCs w:val="20"/>
        </w:rPr>
      </w:pPr>
      <w:bookmarkStart w:id="18" w:name="_Toc415481398"/>
    </w:p>
    <w:p w14:paraId="460ECB30" w14:textId="109D686B" w:rsidR="00B528A3" w:rsidRPr="00E1318C" w:rsidRDefault="00B528A3" w:rsidP="00E1318C">
      <w:pPr>
        <w:rPr>
          <w:rStyle w:val="Emphasis"/>
          <w:sz w:val="20"/>
        </w:rPr>
      </w:pPr>
      <w:r w:rsidRPr="00E1318C">
        <w:rPr>
          <w:rStyle w:val="Emphasis"/>
          <w:sz w:val="20"/>
        </w:rPr>
        <w:t>Council's decision on the scope of review</w:t>
      </w:r>
      <w:bookmarkEnd w:id="18"/>
    </w:p>
    <w:p w14:paraId="1A6F593E" w14:textId="77777777" w:rsidR="00461E35" w:rsidRPr="00461E35" w:rsidRDefault="00B528A3" w:rsidP="000C4CAD">
      <w:pPr>
        <w:numPr>
          <w:ilvl w:val="0"/>
          <w:numId w:val="21"/>
        </w:numPr>
        <w:spacing w:before="140" w:after="140" w:line="280" w:lineRule="atLeast"/>
        <w:rPr>
          <w:rFonts w:ascii="Calibri" w:hAnsi="Calibri" w:cs="Calibri"/>
          <w:sz w:val="24"/>
          <w:szCs w:val="22"/>
        </w:rPr>
      </w:pPr>
      <w:r w:rsidRPr="009767F0">
        <w:rPr>
          <w:rFonts w:ascii="Calibri" w:hAnsi="Calibri" w:cs="Calibri"/>
          <w:sz w:val="24"/>
        </w:rPr>
        <w:t>The Council wrote to the Applicant advising</w:t>
      </w:r>
      <w:r w:rsidR="00B413DF">
        <w:rPr>
          <w:rFonts w:ascii="Calibri" w:hAnsi="Calibri" w:cs="Calibri"/>
          <w:sz w:val="24"/>
        </w:rPr>
        <w:t xml:space="preserve"> of</w:t>
      </w:r>
      <w:r w:rsidRPr="009767F0">
        <w:rPr>
          <w:rFonts w:ascii="Calibri" w:hAnsi="Calibri" w:cs="Calibri"/>
          <w:sz w:val="24"/>
        </w:rPr>
        <w:t xml:space="preserve"> its preliminary decision on the</w:t>
      </w:r>
      <w:r w:rsidR="000C4CAD">
        <w:rPr>
          <w:rFonts w:ascii="Calibri" w:hAnsi="Calibri" w:cs="Calibri"/>
          <w:sz w:val="24"/>
        </w:rPr>
        <w:t xml:space="preserve"> </w:t>
      </w:r>
      <w:r w:rsidRPr="009767F0">
        <w:rPr>
          <w:rFonts w:ascii="Calibri" w:hAnsi="Calibri" w:cs="Calibri"/>
          <w:sz w:val="24"/>
        </w:rPr>
        <w:t>proposed scope of the review and inviting comment. No comments were received on the proposed scope of the review</w:t>
      </w:r>
      <w:r w:rsidR="00461E35">
        <w:rPr>
          <w:rFonts w:ascii="Calibri" w:hAnsi="Calibri" w:cs="Calibri"/>
          <w:sz w:val="24"/>
        </w:rPr>
        <w:t>.</w:t>
      </w:r>
    </w:p>
    <w:p w14:paraId="624D3257" w14:textId="68DF7FC2" w:rsidR="00A21F25" w:rsidRPr="00FA1C96" w:rsidRDefault="00461E35" w:rsidP="000C4CAD">
      <w:pPr>
        <w:numPr>
          <w:ilvl w:val="0"/>
          <w:numId w:val="21"/>
        </w:numPr>
        <w:spacing w:before="140" w:after="140" w:line="280" w:lineRule="atLeast"/>
        <w:rPr>
          <w:rFonts w:ascii="Calibri" w:hAnsi="Calibri" w:cs="Calibri"/>
          <w:sz w:val="24"/>
          <w:szCs w:val="22"/>
        </w:rPr>
      </w:pPr>
      <w:r>
        <w:rPr>
          <w:rFonts w:ascii="Calibri" w:hAnsi="Calibri" w:cs="Calibri"/>
          <w:sz w:val="24"/>
        </w:rPr>
        <w:t>T</w:t>
      </w:r>
      <w:r w:rsidR="00B528A3" w:rsidRPr="009767F0">
        <w:rPr>
          <w:rFonts w:ascii="Calibri" w:hAnsi="Calibri" w:cs="Calibri"/>
          <w:sz w:val="24"/>
        </w:rPr>
        <w:t xml:space="preserve">he Council </w:t>
      </w:r>
      <w:r w:rsidR="006B53C6">
        <w:rPr>
          <w:rFonts w:ascii="Calibri" w:hAnsi="Calibri" w:cs="Calibri"/>
          <w:sz w:val="24"/>
        </w:rPr>
        <w:t>decided</w:t>
      </w:r>
      <w:r w:rsidR="00B528A3" w:rsidRPr="009767F0">
        <w:rPr>
          <w:rFonts w:ascii="Calibri" w:hAnsi="Calibri" w:cs="Calibri"/>
          <w:sz w:val="24"/>
        </w:rPr>
        <w:t xml:space="preserve"> it </w:t>
      </w:r>
      <w:r w:rsidR="006B53C6">
        <w:rPr>
          <w:rFonts w:ascii="Calibri" w:hAnsi="Calibri" w:cs="Calibri"/>
          <w:sz w:val="24"/>
        </w:rPr>
        <w:t>would</w:t>
      </w:r>
      <w:r w:rsidR="00B528A3" w:rsidRPr="009767F0">
        <w:rPr>
          <w:rFonts w:ascii="Calibri" w:hAnsi="Calibri" w:cs="Calibri"/>
          <w:sz w:val="24"/>
        </w:rPr>
        <w:t xml:space="preserve"> have </w:t>
      </w:r>
      <w:proofErr w:type="gramStart"/>
      <w:r w:rsidR="00B528A3" w:rsidRPr="009767F0">
        <w:rPr>
          <w:rFonts w:ascii="Calibri" w:hAnsi="Calibri" w:cs="Calibri"/>
          <w:sz w:val="24"/>
        </w:rPr>
        <w:t>particular regard</w:t>
      </w:r>
      <w:proofErr w:type="gramEnd"/>
      <w:r w:rsidR="00B528A3" w:rsidRPr="009767F0">
        <w:rPr>
          <w:rFonts w:ascii="Calibri" w:hAnsi="Calibri" w:cs="Calibri"/>
          <w:sz w:val="24"/>
        </w:rPr>
        <w:t xml:space="preserve"> </w:t>
      </w:r>
      <w:r w:rsidR="00907F2A">
        <w:rPr>
          <w:rFonts w:ascii="Calibri" w:hAnsi="Calibri" w:cs="Calibri"/>
          <w:sz w:val="24"/>
        </w:rPr>
        <w:t>as to</w:t>
      </w:r>
      <w:r w:rsidR="006A72B0">
        <w:rPr>
          <w:rFonts w:ascii="Calibri" w:hAnsi="Calibri" w:cs="Calibri"/>
          <w:sz w:val="24"/>
        </w:rPr>
        <w:t xml:space="preserve"> </w:t>
      </w:r>
      <w:r w:rsidR="00A21F25" w:rsidRPr="00594BD3">
        <w:rPr>
          <w:rFonts w:ascii="Calibri" w:hAnsi="Calibri" w:cs="Calibri"/>
          <w:sz w:val="24"/>
        </w:rPr>
        <w:t xml:space="preserve">whether there was sufficient sound medical-scientific evidence before the RMA on which to </w:t>
      </w:r>
      <w:r w:rsidR="00A21F25" w:rsidRPr="00594BD3">
        <w:rPr>
          <w:rFonts w:ascii="Calibri" w:hAnsi="Calibri" w:cs="Calibri"/>
          <w:sz w:val="24"/>
        </w:rPr>
        <w:lastRenderedPageBreak/>
        <w:t>determine factors linking posttraumatic stress disorder with Hashimoto thyroiditis</w:t>
      </w:r>
      <w:r w:rsidR="00E648F4">
        <w:rPr>
          <w:rFonts w:ascii="Calibri" w:hAnsi="Calibri" w:cs="Calibri"/>
          <w:sz w:val="24"/>
        </w:rPr>
        <w:t xml:space="preserve"> and,</w:t>
      </w:r>
      <w:r w:rsidR="00A21F25" w:rsidRPr="00594BD3">
        <w:rPr>
          <w:rFonts w:ascii="Calibri" w:hAnsi="Calibri" w:cs="Calibri"/>
          <w:sz w:val="24"/>
        </w:rPr>
        <w:t xml:space="preserve"> </w:t>
      </w:r>
      <w:r w:rsidR="00594BD3" w:rsidRPr="00594BD3">
        <w:rPr>
          <w:rFonts w:ascii="Calibri" w:hAnsi="Calibri" w:cs="Calibri"/>
          <w:sz w:val="24"/>
        </w:rPr>
        <w:t>i</w:t>
      </w:r>
      <w:r w:rsidR="00A21F25" w:rsidRPr="00594BD3">
        <w:rPr>
          <w:rFonts w:ascii="Calibri" w:hAnsi="Calibri" w:cs="Calibri"/>
          <w:sz w:val="24"/>
        </w:rPr>
        <w:t>f so, to determine relevant Statement of Principles.</w:t>
      </w:r>
      <w:r w:rsidR="00A21F25" w:rsidRPr="00FA1C96">
        <w:rPr>
          <w:rFonts w:ascii="Calibri" w:hAnsi="Calibri" w:cs="Calibri"/>
          <w:sz w:val="24"/>
        </w:rPr>
        <w:t xml:space="preserve"> </w:t>
      </w:r>
    </w:p>
    <w:p w14:paraId="460ECB35" w14:textId="77777777" w:rsidR="00FE374D" w:rsidRPr="00F54093" w:rsidRDefault="00FE374D" w:rsidP="00FE374D">
      <w:pPr>
        <w:rPr>
          <w:rFonts w:ascii="Calibri" w:hAnsi="Calibri" w:cs="Calibri"/>
          <w:sz w:val="24"/>
          <w:szCs w:val="22"/>
        </w:rPr>
      </w:pPr>
    </w:p>
    <w:p w14:paraId="460ECB36" w14:textId="36BCF55A" w:rsidR="00FE374D" w:rsidRPr="00F54093" w:rsidRDefault="00C77EFF" w:rsidP="00FE374D">
      <w:pPr>
        <w:pStyle w:val="Heading1"/>
      </w:pPr>
      <w:bookmarkStart w:id="19" w:name="_Toc193702350"/>
      <w:r>
        <w:t>Submissions</w:t>
      </w:r>
      <w:bookmarkEnd w:id="19"/>
    </w:p>
    <w:p w14:paraId="754563B1" w14:textId="77777777" w:rsidR="00482CF4" w:rsidRDefault="00482CF4" w:rsidP="00482CF4">
      <w:pPr>
        <w:rPr>
          <w:rStyle w:val="Emphasis"/>
          <w:b/>
          <w:bCs/>
          <w:iCs w:val="0"/>
          <w:sz w:val="20"/>
          <w:szCs w:val="20"/>
        </w:rPr>
      </w:pPr>
    </w:p>
    <w:p w14:paraId="460ECB38" w14:textId="3B16D064" w:rsidR="00890E66" w:rsidRPr="00E1318C" w:rsidRDefault="00890E66" w:rsidP="00E1318C">
      <w:pPr>
        <w:rPr>
          <w:rStyle w:val="Emphasis"/>
          <w:iCs w:val="0"/>
          <w:sz w:val="20"/>
          <w:szCs w:val="20"/>
        </w:rPr>
      </w:pPr>
      <w:r w:rsidRPr="00E1318C">
        <w:rPr>
          <w:rStyle w:val="Emphasis"/>
          <w:iCs w:val="0"/>
          <w:sz w:val="20"/>
          <w:szCs w:val="20"/>
        </w:rPr>
        <w:t>Applicant</w:t>
      </w:r>
      <w:r w:rsidR="00CC3FD0" w:rsidRPr="00E1318C">
        <w:rPr>
          <w:rStyle w:val="Emphasis"/>
          <w:iCs w:val="0"/>
          <w:sz w:val="20"/>
          <w:szCs w:val="20"/>
        </w:rPr>
        <w:t>’s Submission</w:t>
      </w:r>
    </w:p>
    <w:p w14:paraId="460ECB39" w14:textId="2FD21F5F" w:rsidR="00B528A3" w:rsidRPr="00F54093" w:rsidRDefault="00B528A3" w:rsidP="00116DCE">
      <w:pPr>
        <w:numPr>
          <w:ilvl w:val="0"/>
          <w:numId w:val="21"/>
        </w:numPr>
        <w:spacing w:before="140" w:after="140" w:line="280" w:lineRule="atLeast"/>
        <w:rPr>
          <w:rFonts w:ascii="Calibri" w:hAnsi="Calibri" w:cs="Calibri"/>
          <w:i/>
          <w:sz w:val="24"/>
        </w:rPr>
      </w:pPr>
      <w:r w:rsidRPr="00F54093">
        <w:rPr>
          <w:rFonts w:ascii="Calibri" w:hAnsi="Calibri" w:cs="Calibri"/>
          <w:sz w:val="24"/>
        </w:rPr>
        <w:t xml:space="preserve">The Council </w:t>
      </w:r>
      <w:r w:rsidR="00EC5346">
        <w:rPr>
          <w:rFonts w:ascii="Calibri" w:hAnsi="Calibri" w:cs="Calibri"/>
          <w:sz w:val="24"/>
        </w:rPr>
        <w:t>considered</w:t>
      </w:r>
      <w:r w:rsidRPr="00F54093">
        <w:rPr>
          <w:rFonts w:ascii="Calibri" w:hAnsi="Calibri" w:cs="Calibri"/>
          <w:sz w:val="24"/>
        </w:rPr>
        <w:t xml:space="preserve"> the submissions made to it, both written and </w:t>
      </w:r>
      <w:r w:rsidR="00FF104F">
        <w:rPr>
          <w:rFonts w:ascii="Calibri" w:hAnsi="Calibri" w:cs="Calibri"/>
          <w:sz w:val="24"/>
        </w:rPr>
        <w:t>oral</w:t>
      </w:r>
      <w:r w:rsidR="007A3055">
        <w:rPr>
          <w:rFonts w:ascii="Calibri" w:hAnsi="Calibri" w:cs="Calibri"/>
          <w:sz w:val="24"/>
        </w:rPr>
        <w:t xml:space="preserve">. </w:t>
      </w:r>
    </w:p>
    <w:p w14:paraId="7533015F" w14:textId="5E5A7C4C" w:rsidR="003907E4" w:rsidRPr="006B1941" w:rsidRDefault="0060274C" w:rsidP="00116DCE">
      <w:pPr>
        <w:pStyle w:val="ListParagraph"/>
        <w:numPr>
          <w:ilvl w:val="0"/>
          <w:numId w:val="21"/>
        </w:numPr>
        <w:rPr>
          <w:rFonts w:ascii="Calibri" w:hAnsi="Calibri" w:cs="Calibri"/>
          <w:sz w:val="24"/>
        </w:rPr>
      </w:pPr>
      <w:r w:rsidRPr="006B1941">
        <w:rPr>
          <w:rFonts w:ascii="Calibri" w:hAnsi="Calibri" w:cs="Calibri"/>
          <w:sz w:val="24"/>
        </w:rPr>
        <w:t xml:space="preserve">In </w:t>
      </w:r>
      <w:r w:rsidR="00560E0F">
        <w:rPr>
          <w:rFonts w:ascii="Calibri" w:hAnsi="Calibri" w:cs="Calibri"/>
          <w:sz w:val="24"/>
        </w:rPr>
        <w:t>his</w:t>
      </w:r>
      <w:r w:rsidR="00560E0F" w:rsidRPr="006B1941">
        <w:rPr>
          <w:rFonts w:ascii="Calibri" w:hAnsi="Calibri" w:cs="Calibri"/>
          <w:sz w:val="24"/>
        </w:rPr>
        <w:t xml:space="preserve"> </w:t>
      </w:r>
      <w:r w:rsidR="00677B76" w:rsidRPr="006B1941">
        <w:rPr>
          <w:rFonts w:ascii="Calibri" w:hAnsi="Calibri" w:cs="Calibri"/>
          <w:sz w:val="24"/>
        </w:rPr>
        <w:t>application</w:t>
      </w:r>
      <w:r w:rsidRPr="006B1941">
        <w:rPr>
          <w:rFonts w:ascii="Calibri" w:hAnsi="Calibri" w:cs="Calibri"/>
          <w:sz w:val="24"/>
        </w:rPr>
        <w:t>, the</w:t>
      </w:r>
      <w:r w:rsidR="003907E4" w:rsidRPr="006B1941">
        <w:rPr>
          <w:rFonts w:ascii="Calibri" w:hAnsi="Calibri" w:cs="Calibri"/>
          <w:sz w:val="24"/>
        </w:rPr>
        <w:t xml:space="preserve"> Applicant requested the SMRC review the decision by the RMA to include factors linking posttraumatic stress disorder with Hashimoto thyroiditis, having </w:t>
      </w:r>
      <w:r w:rsidR="006B1941" w:rsidRPr="006B1941">
        <w:rPr>
          <w:rFonts w:ascii="Calibri" w:hAnsi="Calibri" w:cs="Calibri"/>
          <w:sz w:val="24"/>
        </w:rPr>
        <w:t>posttraumatic stress disorder</w:t>
      </w:r>
      <w:r w:rsidR="003907E4" w:rsidRPr="006B1941">
        <w:rPr>
          <w:rFonts w:ascii="Calibri" w:hAnsi="Calibri" w:cs="Calibri"/>
          <w:sz w:val="24"/>
        </w:rPr>
        <w:t xml:space="preserve"> before the clinical onset of Hashimoto thyroiditis. </w:t>
      </w:r>
    </w:p>
    <w:p w14:paraId="21207181" w14:textId="494712BA" w:rsidR="003907E4" w:rsidRPr="003907E4" w:rsidRDefault="003907E4" w:rsidP="00116DCE">
      <w:pPr>
        <w:numPr>
          <w:ilvl w:val="0"/>
          <w:numId w:val="21"/>
        </w:numPr>
        <w:spacing w:before="140" w:after="140" w:line="280" w:lineRule="atLeast"/>
        <w:rPr>
          <w:rFonts w:ascii="Calibri" w:hAnsi="Calibri" w:cs="Calibri"/>
          <w:sz w:val="24"/>
        </w:rPr>
      </w:pPr>
      <w:r w:rsidRPr="00F54093">
        <w:rPr>
          <w:rFonts w:ascii="Calibri" w:hAnsi="Calibri" w:cs="Calibri"/>
          <w:sz w:val="24"/>
        </w:rPr>
        <w:t xml:space="preserve">In support of </w:t>
      </w:r>
      <w:r w:rsidR="00560E0F">
        <w:rPr>
          <w:rFonts w:ascii="Calibri" w:hAnsi="Calibri" w:cs="Calibri"/>
          <w:sz w:val="24"/>
        </w:rPr>
        <w:t>his</w:t>
      </w:r>
      <w:r w:rsidR="00560E0F" w:rsidRPr="00F54093">
        <w:rPr>
          <w:rFonts w:ascii="Calibri" w:hAnsi="Calibri" w:cs="Calibri"/>
          <w:sz w:val="24"/>
        </w:rPr>
        <w:t xml:space="preserve"> </w:t>
      </w:r>
      <w:r w:rsidRPr="00F54093">
        <w:rPr>
          <w:rFonts w:ascii="Calibri" w:hAnsi="Calibri" w:cs="Calibri"/>
          <w:sz w:val="24"/>
        </w:rPr>
        <w:t>contention, the Applicant cited</w:t>
      </w:r>
      <w:r w:rsidR="00447E6B">
        <w:rPr>
          <w:rFonts w:ascii="Calibri" w:hAnsi="Calibri" w:cs="Calibri"/>
          <w:sz w:val="24"/>
        </w:rPr>
        <w:t xml:space="preserve"> </w:t>
      </w:r>
      <w:r w:rsidR="00C37FD1" w:rsidRPr="00C37FD1">
        <w:rPr>
          <w:rFonts w:ascii="Calibri" w:hAnsi="Calibri" w:cs="Calibri"/>
          <w:sz w:val="24"/>
        </w:rPr>
        <w:t xml:space="preserve">Jung et al. </w:t>
      </w:r>
      <w:r w:rsidR="008F20E8">
        <w:rPr>
          <w:rFonts w:ascii="Calibri" w:hAnsi="Calibri" w:cs="Calibri"/>
          <w:sz w:val="24"/>
        </w:rPr>
        <w:t>(</w:t>
      </w:r>
      <w:r w:rsidR="00C37FD1" w:rsidRPr="00C37FD1">
        <w:rPr>
          <w:rFonts w:ascii="Calibri" w:hAnsi="Calibri" w:cs="Calibri"/>
          <w:sz w:val="24"/>
        </w:rPr>
        <w:t>2019</w:t>
      </w:r>
      <w:r w:rsidR="008F20E8">
        <w:rPr>
          <w:rFonts w:ascii="Calibri" w:hAnsi="Calibri" w:cs="Calibri"/>
          <w:sz w:val="24"/>
        </w:rPr>
        <w:t>)</w:t>
      </w:r>
      <w:r w:rsidR="00C37FD1" w:rsidRPr="00C37FD1">
        <w:rPr>
          <w:rFonts w:ascii="Calibri" w:hAnsi="Calibri" w:cs="Calibri"/>
          <w:sz w:val="24"/>
        </w:rPr>
        <w:t xml:space="preserve"> [RMA ID 102800]</w:t>
      </w:r>
      <w:r w:rsidR="00C37FD1">
        <w:rPr>
          <w:rFonts w:ascii="Calibri" w:hAnsi="Calibri" w:cs="Calibri"/>
          <w:sz w:val="24"/>
        </w:rPr>
        <w:t xml:space="preserve"> and </w:t>
      </w:r>
      <w:r w:rsidR="00C37FD1" w:rsidRPr="00C37FD1">
        <w:rPr>
          <w:rFonts w:ascii="Calibri" w:hAnsi="Calibri" w:cs="Calibri"/>
          <w:sz w:val="24"/>
        </w:rPr>
        <w:t xml:space="preserve">O’Donovan et al. </w:t>
      </w:r>
      <w:r w:rsidR="005A7DE2">
        <w:rPr>
          <w:rFonts w:ascii="Calibri" w:hAnsi="Calibri" w:cs="Calibri"/>
          <w:sz w:val="24"/>
        </w:rPr>
        <w:t>(</w:t>
      </w:r>
      <w:r w:rsidR="00C37FD1" w:rsidRPr="00C37FD1">
        <w:rPr>
          <w:rFonts w:ascii="Calibri" w:hAnsi="Calibri" w:cs="Calibri"/>
          <w:sz w:val="24"/>
        </w:rPr>
        <w:t>2015</w:t>
      </w:r>
      <w:r w:rsidR="005A7DE2">
        <w:rPr>
          <w:rFonts w:ascii="Calibri" w:hAnsi="Calibri" w:cs="Calibri"/>
          <w:sz w:val="24"/>
        </w:rPr>
        <w:t>)</w:t>
      </w:r>
      <w:r w:rsidR="00C37FD1" w:rsidRPr="00C37FD1">
        <w:rPr>
          <w:rFonts w:ascii="Calibri" w:hAnsi="Calibri" w:cs="Calibri"/>
          <w:sz w:val="24"/>
        </w:rPr>
        <w:t xml:space="preserve"> [RMA ID 102934]</w:t>
      </w:r>
      <w:r w:rsidR="003B0C1F">
        <w:rPr>
          <w:rFonts w:ascii="Calibri" w:hAnsi="Calibri" w:cs="Calibri"/>
          <w:sz w:val="24"/>
        </w:rPr>
        <w:t xml:space="preserve"> in </w:t>
      </w:r>
      <w:r w:rsidR="00B560EE">
        <w:rPr>
          <w:rFonts w:ascii="Calibri" w:hAnsi="Calibri" w:cs="Calibri"/>
          <w:sz w:val="24"/>
        </w:rPr>
        <w:t xml:space="preserve">his </w:t>
      </w:r>
      <w:r w:rsidR="003B0C1F">
        <w:rPr>
          <w:rFonts w:ascii="Calibri" w:hAnsi="Calibri" w:cs="Calibri"/>
          <w:sz w:val="24"/>
        </w:rPr>
        <w:t>application</w:t>
      </w:r>
      <w:r w:rsidR="00C37FD1">
        <w:rPr>
          <w:rFonts w:ascii="Calibri" w:hAnsi="Calibri" w:cs="Calibri"/>
          <w:sz w:val="24"/>
        </w:rPr>
        <w:t xml:space="preserve"> </w:t>
      </w:r>
      <w:r w:rsidR="00447E6B">
        <w:rPr>
          <w:rFonts w:ascii="Calibri" w:hAnsi="Calibri" w:cs="Calibri"/>
          <w:sz w:val="24"/>
        </w:rPr>
        <w:t>stating that:</w:t>
      </w:r>
    </w:p>
    <w:p w14:paraId="74AF266B" w14:textId="7C14B709" w:rsidR="003907E4" w:rsidRPr="003907E4" w:rsidRDefault="003907E4" w:rsidP="003907E4">
      <w:pPr>
        <w:spacing w:before="140" w:after="140" w:line="280" w:lineRule="atLeast"/>
        <w:ind w:left="850"/>
        <w:rPr>
          <w:rFonts w:ascii="Calibri" w:hAnsi="Calibri" w:cs="Calibri"/>
          <w:szCs w:val="22"/>
        </w:rPr>
      </w:pPr>
      <w:r w:rsidRPr="003907E4">
        <w:rPr>
          <w:rFonts w:ascii="Calibri" w:hAnsi="Calibri" w:cs="Calibri"/>
          <w:szCs w:val="22"/>
        </w:rPr>
        <w:t>Jung et al</w:t>
      </w:r>
      <w:r w:rsidR="006E1170">
        <w:rPr>
          <w:rFonts w:ascii="Calibri" w:hAnsi="Calibri" w:cs="Calibri"/>
          <w:szCs w:val="22"/>
        </w:rPr>
        <w:t>.</w:t>
      </w:r>
      <w:r w:rsidRPr="003907E4">
        <w:rPr>
          <w:rFonts w:ascii="Calibri" w:hAnsi="Calibri" w:cs="Calibri"/>
          <w:szCs w:val="22"/>
        </w:rPr>
        <w:t>, using the well</w:t>
      </w:r>
      <w:r w:rsidR="006E1170">
        <w:rPr>
          <w:rFonts w:ascii="Calibri" w:hAnsi="Calibri" w:cs="Calibri"/>
          <w:szCs w:val="22"/>
        </w:rPr>
        <w:t>-</w:t>
      </w:r>
      <w:r w:rsidRPr="003907E4">
        <w:rPr>
          <w:rFonts w:ascii="Calibri" w:hAnsi="Calibri" w:cs="Calibri"/>
          <w:szCs w:val="22"/>
        </w:rPr>
        <w:t>known and well</w:t>
      </w:r>
      <w:r w:rsidR="006E1170">
        <w:rPr>
          <w:rFonts w:ascii="Calibri" w:hAnsi="Calibri" w:cs="Calibri"/>
          <w:szCs w:val="22"/>
        </w:rPr>
        <w:t>-</w:t>
      </w:r>
      <w:r w:rsidRPr="003907E4">
        <w:rPr>
          <w:rFonts w:ascii="Calibri" w:hAnsi="Calibri" w:cs="Calibri"/>
          <w:szCs w:val="22"/>
        </w:rPr>
        <w:t xml:space="preserve">respected US </w:t>
      </w:r>
      <w:r w:rsidR="006E1170">
        <w:rPr>
          <w:rFonts w:ascii="Calibri" w:hAnsi="Calibri" w:cs="Calibri"/>
          <w:szCs w:val="22"/>
        </w:rPr>
        <w:t>N</w:t>
      </w:r>
      <w:r w:rsidRPr="003907E4">
        <w:rPr>
          <w:rFonts w:ascii="Calibri" w:hAnsi="Calibri" w:cs="Calibri"/>
          <w:szCs w:val="22"/>
        </w:rPr>
        <w:t>urses</w:t>
      </w:r>
      <w:r w:rsidR="006E1170">
        <w:rPr>
          <w:rFonts w:ascii="Calibri" w:hAnsi="Calibri" w:cs="Calibri"/>
          <w:szCs w:val="22"/>
        </w:rPr>
        <w:t>’</w:t>
      </w:r>
      <w:r w:rsidRPr="003907E4">
        <w:rPr>
          <w:rFonts w:ascii="Calibri" w:hAnsi="Calibri" w:cs="Calibri"/>
          <w:szCs w:val="22"/>
        </w:rPr>
        <w:t xml:space="preserve"> study of 45992 women</w:t>
      </w:r>
      <w:r w:rsidR="006E1170">
        <w:rPr>
          <w:rFonts w:ascii="Calibri" w:hAnsi="Calibri" w:cs="Calibri"/>
          <w:szCs w:val="22"/>
        </w:rPr>
        <w:t>,</w:t>
      </w:r>
      <w:r w:rsidRPr="003907E4">
        <w:rPr>
          <w:rFonts w:ascii="Calibri" w:hAnsi="Calibri" w:cs="Calibri"/>
          <w:szCs w:val="22"/>
        </w:rPr>
        <w:t xml:space="preserve"> demonstrate a dose</w:t>
      </w:r>
      <w:r w:rsidR="006E1170">
        <w:rPr>
          <w:rFonts w:ascii="Calibri" w:hAnsi="Calibri" w:cs="Calibri"/>
          <w:szCs w:val="22"/>
        </w:rPr>
        <w:t>-</w:t>
      </w:r>
      <w:r w:rsidRPr="003907E4">
        <w:rPr>
          <w:rFonts w:ascii="Calibri" w:hAnsi="Calibri" w:cs="Calibri"/>
          <w:szCs w:val="22"/>
        </w:rPr>
        <w:t>depend</w:t>
      </w:r>
      <w:r w:rsidR="006E1170">
        <w:rPr>
          <w:rFonts w:ascii="Calibri" w:hAnsi="Calibri" w:cs="Calibri"/>
          <w:szCs w:val="22"/>
        </w:rPr>
        <w:t>e</w:t>
      </w:r>
      <w:r w:rsidRPr="003907E4">
        <w:rPr>
          <w:rFonts w:ascii="Calibri" w:hAnsi="Calibri" w:cs="Calibri"/>
          <w:szCs w:val="22"/>
        </w:rPr>
        <w:t xml:space="preserve">nt relationship between </w:t>
      </w:r>
      <w:r w:rsidR="006E1170">
        <w:rPr>
          <w:rFonts w:ascii="Calibri" w:hAnsi="Calibri" w:cs="Calibri"/>
          <w:szCs w:val="22"/>
        </w:rPr>
        <w:t xml:space="preserve">the </w:t>
      </w:r>
      <w:r w:rsidRPr="003907E4">
        <w:rPr>
          <w:rFonts w:ascii="Calibri" w:hAnsi="Calibri" w:cs="Calibri"/>
          <w:szCs w:val="22"/>
        </w:rPr>
        <w:t>number of PTSD</w:t>
      </w:r>
      <w:r w:rsidR="0024788A">
        <w:rPr>
          <w:rFonts w:ascii="Calibri" w:hAnsi="Calibri" w:cs="Calibri"/>
          <w:szCs w:val="22"/>
        </w:rPr>
        <w:t xml:space="preserve"> [</w:t>
      </w:r>
      <w:proofErr w:type="gramStart"/>
      <w:r w:rsidR="00642DCB">
        <w:rPr>
          <w:rFonts w:ascii="Calibri" w:hAnsi="Calibri" w:cs="Calibri"/>
          <w:szCs w:val="22"/>
        </w:rPr>
        <w:t>Posttraumatic Stress Disorder</w:t>
      </w:r>
      <w:proofErr w:type="gramEnd"/>
      <w:r w:rsidR="00642DCB">
        <w:rPr>
          <w:rFonts w:ascii="Calibri" w:hAnsi="Calibri" w:cs="Calibri"/>
          <w:szCs w:val="22"/>
        </w:rPr>
        <w:t>]</w:t>
      </w:r>
      <w:r w:rsidRPr="003907E4">
        <w:rPr>
          <w:rFonts w:ascii="Calibri" w:hAnsi="Calibri" w:cs="Calibri"/>
          <w:szCs w:val="22"/>
        </w:rPr>
        <w:t xml:space="preserve"> symptoms and the risk of hypothyroidism over 24 years. </w:t>
      </w:r>
    </w:p>
    <w:p w14:paraId="460ECB3B" w14:textId="57F13E09" w:rsidR="00B528A3" w:rsidRDefault="003907E4" w:rsidP="00447E6B">
      <w:pPr>
        <w:spacing w:before="140" w:after="140" w:line="280" w:lineRule="atLeast"/>
        <w:ind w:left="850"/>
        <w:rPr>
          <w:rFonts w:ascii="Calibri" w:hAnsi="Calibri" w:cs="Calibri"/>
          <w:szCs w:val="22"/>
        </w:rPr>
      </w:pPr>
      <w:r w:rsidRPr="003907E4">
        <w:rPr>
          <w:rFonts w:ascii="Calibri" w:hAnsi="Calibri" w:cs="Calibri"/>
          <w:szCs w:val="22"/>
        </w:rPr>
        <w:t>O'Donovan demonstrated trauma exposure and PTSD resulted in an elevated risk of developing autoimmune disorders, in both women and men, for thyroid</w:t>
      </w:r>
      <w:r w:rsidR="006E1170">
        <w:rPr>
          <w:rFonts w:ascii="Calibri" w:hAnsi="Calibri" w:cs="Calibri"/>
          <w:szCs w:val="22"/>
        </w:rPr>
        <w:t>itis</w:t>
      </w:r>
      <w:r w:rsidRPr="003907E4">
        <w:rPr>
          <w:rFonts w:ascii="Calibri" w:hAnsi="Calibri" w:cs="Calibri"/>
          <w:szCs w:val="22"/>
        </w:rPr>
        <w:t xml:space="preserve"> the adjusted relative risk was statistically significantly higher in veterans with PTSD compared to those with no psychiatric disorder (see Table 2), from the paper ARR = 2.00 95% CI, 1.91–2.09; p &lt;.001)</w:t>
      </w:r>
    </w:p>
    <w:p w14:paraId="047C3FEF" w14:textId="361BD71F" w:rsidR="00F95AB6" w:rsidRDefault="00D24B78" w:rsidP="00116DCE">
      <w:pPr>
        <w:numPr>
          <w:ilvl w:val="0"/>
          <w:numId w:val="21"/>
        </w:numPr>
        <w:spacing w:before="140" w:after="140" w:line="280" w:lineRule="atLeast"/>
        <w:rPr>
          <w:rFonts w:ascii="Calibri" w:hAnsi="Calibri" w:cs="Calibri"/>
          <w:sz w:val="24"/>
        </w:rPr>
      </w:pPr>
      <w:r>
        <w:rPr>
          <w:rFonts w:ascii="Calibri" w:hAnsi="Calibri" w:cs="Calibri"/>
          <w:sz w:val="24"/>
        </w:rPr>
        <w:t xml:space="preserve">Through </w:t>
      </w:r>
      <w:r w:rsidR="00B560EE">
        <w:rPr>
          <w:rFonts w:ascii="Calibri" w:hAnsi="Calibri" w:cs="Calibri"/>
          <w:sz w:val="24"/>
        </w:rPr>
        <w:t xml:space="preserve">his </w:t>
      </w:r>
      <w:r>
        <w:rPr>
          <w:rFonts w:ascii="Calibri" w:hAnsi="Calibri" w:cs="Calibri"/>
          <w:sz w:val="24"/>
        </w:rPr>
        <w:t>representative, the Applicant</w:t>
      </w:r>
      <w:r w:rsidR="00677B76">
        <w:rPr>
          <w:rFonts w:ascii="Calibri" w:hAnsi="Calibri" w:cs="Calibri"/>
          <w:sz w:val="24"/>
        </w:rPr>
        <w:t xml:space="preserve"> advised the Council that the information provided with </w:t>
      </w:r>
      <w:r w:rsidR="00B560EE">
        <w:rPr>
          <w:rFonts w:ascii="Calibri" w:hAnsi="Calibri" w:cs="Calibri"/>
          <w:sz w:val="24"/>
        </w:rPr>
        <w:t xml:space="preserve">his </w:t>
      </w:r>
      <w:r w:rsidR="00677B76">
        <w:rPr>
          <w:rFonts w:ascii="Calibri" w:hAnsi="Calibri" w:cs="Calibri"/>
          <w:sz w:val="24"/>
        </w:rPr>
        <w:t>application</w:t>
      </w:r>
      <w:r w:rsidR="00F95AB6">
        <w:rPr>
          <w:rFonts w:ascii="Calibri" w:hAnsi="Calibri" w:cs="Calibri"/>
          <w:sz w:val="24"/>
        </w:rPr>
        <w:t xml:space="preserve"> was the basis of </w:t>
      </w:r>
      <w:r w:rsidR="00CE5236">
        <w:rPr>
          <w:rFonts w:ascii="Calibri" w:hAnsi="Calibri" w:cs="Calibri"/>
          <w:sz w:val="24"/>
        </w:rPr>
        <w:t xml:space="preserve">his </w:t>
      </w:r>
      <w:r w:rsidR="00D72CF8">
        <w:rPr>
          <w:rFonts w:ascii="Calibri" w:hAnsi="Calibri" w:cs="Calibri"/>
          <w:sz w:val="24"/>
        </w:rPr>
        <w:t>oral</w:t>
      </w:r>
      <w:r w:rsidR="00F95AB6">
        <w:rPr>
          <w:rFonts w:ascii="Calibri" w:hAnsi="Calibri" w:cs="Calibri"/>
          <w:sz w:val="24"/>
        </w:rPr>
        <w:t xml:space="preserve"> submission </w:t>
      </w:r>
      <w:r w:rsidR="00C90B18">
        <w:rPr>
          <w:rFonts w:ascii="Calibri" w:hAnsi="Calibri" w:cs="Calibri"/>
          <w:sz w:val="24"/>
        </w:rPr>
        <w:t xml:space="preserve">at the Council’s hearing of submissions held on </w:t>
      </w:r>
      <w:r w:rsidR="00FA532D">
        <w:rPr>
          <w:rFonts w:ascii="Calibri" w:hAnsi="Calibri" w:cs="Calibri"/>
          <w:sz w:val="24"/>
        </w:rPr>
        <w:t>4 December</w:t>
      </w:r>
      <w:r w:rsidR="00C90B18">
        <w:rPr>
          <w:rFonts w:ascii="Calibri" w:hAnsi="Calibri" w:cs="Calibri"/>
          <w:sz w:val="24"/>
        </w:rPr>
        <w:t xml:space="preserve"> 2024</w:t>
      </w:r>
      <w:r w:rsidR="00FA532D">
        <w:rPr>
          <w:rFonts w:ascii="Calibri" w:hAnsi="Calibri" w:cs="Calibri"/>
          <w:sz w:val="24"/>
        </w:rPr>
        <w:t xml:space="preserve">. </w:t>
      </w:r>
    </w:p>
    <w:p w14:paraId="33D76D36" w14:textId="03E4D228" w:rsidR="00A451F4" w:rsidRDefault="001138B5" w:rsidP="00116DCE">
      <w:pPr>
        <w:numPr>
          <w:ilvl w:val="0"/>
          <w:numId w:val="21"/>
        </w:numPr>
        <w:spacing w:before="140" w:after="140" w:line="280" w:lineRule="atLeast"/>
        <w:rPr>
          <w:rFonts w:ascii="Calibri" w:hAnsi="Calibri" w:cs="Calibri"/>
          <w:sz w:val="24"/>
        </w:rPr>
      </w:pPr>
      <w:r>
        <w:rPr>
          <w:rFonts w:ascii="Calibri" w:hAnsi="Calibri" w:cs="Calibri"/>
          <w:sz w:val="24"/>
        </w:rPr>
        <w:t>Through</w:t>
      </w:r>
      <w:r w:rsidR="00F95AB6">
        <w:rPr>
          <w:rFonts w:ascii="Calibri" w:hAnsi="Calibri" w:cs="Calibri"/>
          <w:sz w:val="24"/>
        </w:rPr>
        <w:t xml:space="preserve"> </w:t>
      </w:r>
      <w:r w:rsidR="008A7F4B">
        <w:rPr>
          <w:rFonts w:ascii="Calibri" w:hAnsi="Calibri" w:cs="Calibri"/>
          <w:sz w:val="24"/>
        </w:rPr>
        <w:t xml:space="preserve">his </w:t>
      </w:r>
      <w:r w:rsidR="00F95AB6">
        <w:rPr>
          <w:rFonts w:ascii="Calibri" w:hAnsi="Calibri" w:cs="Calibri"/>
          <w:sz w:val="24"/>
        </w:rPr>
        <w:t xml:space="preserve">representative, the Applicant contended </w:t>
      </w:r>
      <w:r w:rsidR="00BF1290">
        <w:rPr>
          <w:rFonts w:ascii="Calibri" w:hAnsi="Calibri" w:cs="Calibri"/>
          <w:sz w:val="24"/>
        </w:rPr>
        <w:t xml:space="preserve">at the hearing </w:t>
      </w:r>
      <w:r w:rsidR="00F95AB6">
        <w:rPr>
          <w:rFonts w:ascii="Calibri" w:hAnsi="Calibri" w:cs="Calibri"/>
          <w:sz w:val="24"/>
        </w:rPr>
        <w:t xml:space="preserve">that </w:t>
      </w:r>
      <w:r w:rsidR="007D1453">
        <w:rPr>
          <w:rFonts w:ascii="Calibri" w:hAnsi="Calibri" w:cs="Calibri"/>
          <w:sz w:val="24"/>
        </w:rPr>
        <w:t xml:space="preserve">there </w:t>
      </w:r>
      <w:r w:rsidR="00AA5F64">
        <w:rPr>
          <w:rFonts w:ascii="Calibri" w:hAnsi="Calibri" w:cs="Calibri"/>
          <w:sz w:val="24"/>
        </w:rPr>
        <w:t>were</w:t>
      </w:r>
      <w:r w:rsidR="00F95AB6">
        <w:rPr>
          <w:rFonts w:ascii="Calibri" w:hAnsi="Calibri" w:cs="Calibri"/>
          <w:sz w:val="24"/>
        </w:rPr>
        <w:t xml:space="preserve"> available studies</w:t>
      </w:r>
      <w:r w:rsidR="005A4D53">
        <w:rPr>
          <w:rFonts w:ascii="Calibri" w:hAnsi="Calibri" w:cs="Calibri"/>
          <w:sz w:val="24"/>
        </w:rPr>
        <w:t xml:space="preserve"> </w:t>
      </w:r>
      <w:r w:rsidR="00171CDD">
        <w:rPr>
          <w:rFonts w:ascii="Calibri" w:hAnsi="Calibri" w:cs="Calibri"/>
          <w:sz w:val="24"/>
        </w:rPr>
        <w:t>that me</w:t>
      </w:r>
      <w:r w:rsidR="008768F2">
        <w:rPr>
          <w:rFonts w:ascii="Calibri" w:hAnsi="Calibri" w:cs="Calibri"/>
          <w:sz w:val="24"/>
        </w:rPr>
        <w:t>e</w:t>
      </w:r>
      <w:r w:rsidR="00171CDD">
        <w:rPr>
          <w:rFonts w:ascii="Calibri" w:hAnsi="Calibri" w:cs="Calibri"/>
          <w:sz w:val="24"/>
        </w:rPr>
        <w:t xml:space="preserve">t the balance of probabilities </w:t>
      </w:r>
      <w:r w:rsidR="008768F2">
        <w:rPr>
          <w:rFonts w:ascii="Calibri" w:hAnsi="Calibri" w:cs="Calibri"/>
          <w:sz w:val="24"/>
        </w:rPr>
        <w:t>test</w:t>
      </w:r>
      <w:r w:rsidR="0054660C">
        <w:rPr>
          <w:rFonts w:ascii="Calibri" w:hAnsi="Calibri" w:cs="Calibri"/>
          <w:sz w:val="24"/>
        </w:rPr>
        <w:t xml:space="preserve"> to </w:t>
      </w:r>
      <w:r w:rsidR="000B762F">
        <w:rPr>
          <w:rFonts w:ascii="Calibri" w:hAnsi="Calibri" w:cs="Calibri"/>
          <w:sz w:val="24"/>
        </w:rPr>
        <w:t>amend</w:t>
      </w:r>
      <w:r w:rsidR="0054660C">
        <w:rPr>
          <w:rFonts w:ascii="Calibri" w:hAnsi="Calibri" w:cs="Calibri"/>
          <w:sz w:val="24"/>
        </w:rPr>
        <w:t xml:space="preserve"> the </w:t>
      </w:r>
      <w:r w:rsidR="0054660C" w:rsidRPr="00CE722C">
        <w:rPr>
          <w:rFonts w:ascii="Calibri" w:hAnsi="Calibri" w:cs="Calibri"/>
          <w:sz w:val="24"/>
        </w:rPr>
        <w:t>Statements of Principles concerning Hashimoto thyroiditis (Nos. 0</w:t>
      </w:r>
      <w:r w:rsidR="0054660C">
        <w:rPr>
          <w:rFonts w:ascii="Calibri" w:hAnsi="Calibri" w:cs="Calibri"/>
          <w:sz w:val="24"/>
        </w:rPr>
        <w:t>2</w:t>
      </w:r>
      <w:r w:rsidR="0054660C" w:rsidRPr="00CE722C">
        <w:rPr>
          <w:rFonts w:ascii="Calibri" w:hAnsi="Calibri" w:cs="Calibri"/>
          <w:sz w:val="24"/>
        </w:rPr>
        <w:t xml:space="preserve"> of 2022)</w:t>
      </w:r>
      <w:r w:rsidR="00CB08A5">
        <w:rPr>
          <w:rFonts w:ascii="Calibri" w:hAnsi="Calibri" w:cs="Calibri"/>
          <w:sz w:val="24"/>
        </w:rPr>
        <w:t xml:space="preserve"> to include a factor </w:t>
      </w:r>
      <w:r w:rsidR="00F70443">
        <w:rPr>
          <w:rFonts w:ascii="Calibri" w:hAnsi="Calibri" w:cs="Calibri"/>
          <w:sz w:val="24"/>
        </w:rPr>
        <w:t>on posttraumatic stress disorder. The representative noted that</w:t>
      </w:r>
      <w:r w:rsidR="0054660C">
        <w:rPr>
          <w:rFonts w:ascii="Calibri" w:hAnsi="Calibri" w:cs="Calibri"/>
          <w:sz w:val="24"/>
        </w:rPr>
        <w:t xml:space="preserve"> </w:t>
      </w:r>
      <w:r w:rsidR="00C61F54">
        <w:rPr>
          <w:rFonts w:ascii="Calibri" w:hAnsi="Calibri" w:cs="Calibri"/>
          <w:sz w:val="24"/>
        </w:rPr>
        <w:t xml:space="preserve">the reasonable hypothesis </w:t>
      </w:r>
      <w:r w:rsidR="00C15500">
        <w:rPr>
          <w:rFonts w:ascii="Calibri" w:hAnsi="Calibri" w:cs="Calibri"/>
          <w:sz w:val="24"/>
        </w:rPr>
        <w:t>test</w:t>
      </w:r>
      <w:r w:rsidR="003F5EEF">
        <w:rPr>
          <w:rFonts w:ascii="Calibri" w:hAnsi="Calibri" w:cs="Calibri"/>
          <w:sz w:val="24"/>
        </w:rPr>
        <w:t xml:space="preserve"> </w:t>
      </w:r>
      <w:r w:rsidR="00B029D8">
        <w:rPr>
          <w:rFonts w:ascii="Calibri" w:hAnsi="Calibri" w:cs="Calibri"/>
          <w:sz w:val="24"/>
        </w:rPr>
        <w:t xml:space="preserve">had </w:t>
      </w:r>
      <w:r w:rsidR="0061463A">
        <w:rPr>
          <w:rFonts w:ascii="Calibri" w:hAnsi="Calibri" w:cs="Calibri"/>
          <w:sz w:val="24"/>
        </w:rPr>
        <w:t>been</w:t>
      </w:r>
      <w:r w:rsidR="00EC78DB">
        <w:rPr>
          <w:rFonts w:ascii="Calibri" w:hAnsi="Calibri" w:cs="Calibri"/>
          <w:sz w:val="24"/>
        </w:rPr>
        <w:t xml:space="preserve"> </w:t>
      </w:r>
      <w:r w:rsidR="00AA5F64">
        <w:rPr>
          <w:rFonts w:ascii="Calibri" w:hAnsi="Calibri" w:cs="Calibri"/>
          <w:sz w:val="24"/>
        </w:rPr>
        <w:t>met</w:t>
      </w:r>
      <w:r w:rsidR="00FD2008">
        <w:rPr>
          <w:rFonts w:ascii="Calibri" w:hAnsi="Calibri" w:cs="Calibri"/>
          <w:sz w:val="24"/>
        </w:rPr>
        <w:t>. Consequently</w:t>
      </w:r>
      <w:r w:rsidR="000505E6">
        <w:rPr>
          <w:rFonts w:ascii="Calibri" w:hAnsi="Calibri" w:cs="Calibri"/>
          <w:sz w:val="24"/>
        </w:rPr>
        <w:t>,</w:t>
      </w:r>
      <w:r w:rsidR="005B28B7">
        <w:rPr>
          <w:rFonts w:ascii="Calibri" w:hAnsi="Calibri" w:cs="Calibri"/>
          <w:sz w:val="24"/>
        </w:rPr>
        <w:t xml:space="preserve"> the </w:t>
      </w:r>
      <w:r w:rsidR="00CE722C" w:rsidRPr="00CE722C">
        <w:rPr>
          <w:rFonts w:ascii="Calibri" w:hAnsi="Calibri" w:cs="Calibri"/>
          <w:sz w:val="24"/>
        </w:rPr>
        <w:t>Statements of Principles concerning Hashimoto thyroiditis (Nos. 0</w:t>
      </w:r>
      <w:r w:rsidR="00AA5F64">
        <w:rPr>
          <w:rFonts w:ascii="Calibri" w:hAnsi="Calibri" w:cs="Calibri"/>
          <w:sz w:val="24"/>
        </w:rPr>
        <w:t>1</w:t>
      </w:r>
      <w:r w:rsidR="00CE722C" w:rsidRPr="00CE722C">
        <w:rPr>
          <w:rFonts w:ascii="Calibri" w:hAnsi="Calibri" w:cs="Calibri"/>
          <w:sz w:val="24"/>
        </w:rPr>
        <w:t xml:space="preserve"> of 2022)</w:t>
      </w:r>
      <w:r w:rsidR="003F5EEF">
        <w:rPr>
          <w:rFonts w:ascii="Calibri" w:hAnsi="Calibri" w:cs="Calibri"/>
          <w:sz w:val="24"/>
        </w:rPr>
        <w:t xml:space="preserve"> </w:t>
      </w:r>
      <w:r w:rsidR="007C6162">
        <w:rPr>
          <w:rFonts w:ascii="Calibri" w:hAnsi="Calibri" w:cs="Calibri"/>
          <w:sz w:val="24"/>
        </w:rPr>
        <w:t>have</w:t>
      </w:r>
      <w:r w:rsidR="005B28B7">
        <w:rPr>
          <w:rFonts w:ascii="Calibri" w:hAnsi="Calibri" w:cs="Calibri"/>
          <w:sz w:val="24"/>
        </w:rPr>
        <w:t xml:space="preserve"> been amended </w:t>
      </w:r>
      <w:r w:rsidR="003F5EEF">
        <w:rPr>
          <w:rFonts w:ascii="Calibri" w:hAnsi="Calibri" w:cs="Calibri"/>
          <w:sz w:val="24"/>
        </w:rPr>
        <w:t xml:space="preserve">to include a factor </w:t>
      </w:r>
      <w:r w:rsidR="007051EE">
        <w:rPr>
          <w:rFonts w:ascii="Calibri" w:hAnsi="Calibri" w:cs="Calibri"/>
          <w:sz w:val="24"/>
        </w:rPr>
        <w:t xml:space="preserve">for having </w:t>
      </w:r>
      <w:r w:rsidR="003F5EEF">
        <w:rPr>
          <w:rFonts w:ascii="Calibri" w:hAnsi="Calibri" w:cs="Calibri"/>
          <w:sz w:val="24"/>
        </w:rPr>
        <w:t>posttraumatic stress disorder</w:t>
      </w:r>
      <w:r w:rsidR="005B28B7">
        <w:rPr>
          <w:rFonts w:ascii="Calibri" w:hAnsi="Calibri" w:cs="Calibri"/>
          <w:sz w:val="24"/>
        </w:rPr>
        <w:t xml:space="preserve"> </w:t>
      </w:r>
      <w:r w:rsidR="00356E48">
        <w:rPr>
          <w:rFonts w:ascii="Calibri" w:hAnsi="Calibri" w:cs="Calibri"/>
          <w:sz w:val="24"/>
        </w:rPr>
        <w:t>at the time of clinical onset</w:t>
      </w:r>
      <w:r w:rsidR="009C48BB">
        <w:rPr>
          <w:rFonts w:ascii="Calibri" w:hAnsi="Calibri" w:cs="Calibri"/>
          <w:sz w:val="24"/>
        </w:rPr>
        <w:t xml:space="preserve"> or worsening of Hashimoto </w:t>
      </w:r>
      <w:r w:rsidR="00A2430B">
        <w:rPr>
          <w:rFonts w:ascii="Calibri" w:hAnsi="Calibri" w:cs="Calibri"/>
          <w:sz w:val="24"/>
        </w:rPr>
        <w:t>thyroiditis</w:t>
      </w:r>
      <w:r w:rsidR="009C48BB">
        <w:rPr>
          <w:rFonts w:ascii="Calibri" w:hAnsi="Calibri" w:cs="Calibri"/>
          <w:sz w:val="24"/>
        </w:rPr>
        <w:t xml:space="preserve"> </w:t>
      </w:r>
      <w:r w:rsidR="00A747B6">
        <w:rPr>
          <w:rFonts w:ascii="Calibri" w:hAnsi="Calibri" w:cs="Calibri"/>
          <w:sz w:val="24"/>
        </w:rPr>
        <w:t xml:space="preserve">in </w:t>
      </w:r>
      <w:r w:rsidR="00AF676E">
        <w:rPr>
          <w:rFonts w:ascii="Calibri" w:hAnsi="Calibri" w:cs="Calibri"/>
          <w:sz w:val="24"/>
        </w:rPr>
        <w:t xml:space="preserve">the RMA’s </w:t>
      </w:r>
      <w:r w:rsidR="00A747B6">
        <w:rPr>
          <w:rFonts w:ascii="Calibri" w:hAnsi="Calibri" w:cs="Calibri"/>
          <w:sz w:val="24"/>
        </w:rPr>
        <w:t>most recent review</w:t>
      </w:r>
      <w:r w:rsidR="00AF676E">
        <w:rPr>
          <w:rFonts w:ascii="Calibri" w:hAnsi="Calibri" w:cs="Calibri"/>
          <w:sz w:val="24"/>
        </w:rPr>
        <w:t xml:space="preserve"> of these Statements of Principles</w:t>
      </w:r>
      <w:r w:rsidR="003F5EEF">
        <w:rPr>
          <w:rFonts w:ascii="Calibri" w:hAnsi="Calibri" w:cs="Calibri"/>
          <w:sz w:val="24"/>
        </w:rPr>
        <w:t xml:space="preserve">. </w:t>
      </w:r>
    </w:p>
    <w:p w14:paraId="7179688C" w14:textId="454E56C3" w:rsidR="007705C8" w:rsidRPr="006E1170" w:rsidRDefault="000951F6" w:rsidP="00116DCE">
      <w:pPr>
        <w:numPr>
          <w:ilvl w:val="0"/>
          <w:numId w:val="21"/>
        </w:numPr>
        <w:spacing w:before="140" w:after="140" w:line="280" w:lineRule="atLeast"/>
        <w:rPr>
          <w:rFonts w:ascii="Calibri" w:hAnsi="Calibri" w:cs="Calibri"/>
          <w:sz w:val="24"/>
        </w:rPr>
      </w:pPr>
      <w:r w:rsidRPr="006E1170">
        <w:rPr>
          <w:rFonts w:ascii="Calibri" w:hAnsi="Calibri" w:cs="Calibri"/>
          <w:sz w:val="24"/>
        </w:rPr>
        <w:t>T</w:t>
      </w:r>
      <w:r w:rsidR="009215E8" w:rsidRPr="006E1170">
        <w:rPr>
          <w:rFonts w:ascii="Calibri" w:hAnsi="Calibri" w:cs="Calibri"/>
          <w:sz w:val="24"/>
        </w:rPr>
        <w:t xml:space="preserve">hrough </w:t>
      </w:r>
      <w:r w:rsidR="007705C8" w:rsidRPr="006E1170">
        <w:rPr>
          <w:rFonts w:ascii="Calibri" w:hAnsi="Calibri" w:cs="Calibri"/>
          <w:sz w:val="24"/>
        </w:rPr>
        <w:t xml:space="preserve">his representative, the Applicant noted that the wording of the </w:t>
      </w:r>
      <w:r w:rsidR="00A47B5A" w:rsidRPr="006E1170">
        <w:rPr>
          <w:rFonts w:ascii="Calibri" w:hAnsi="Calibri" w:cs="Calibri"/>
          <w:sz w:val="24"/>
        </w:rPr>
        <w:t xml:space="preserve">factor </w:t>
      </w:r>
      <w:r w:rsidR="00BE22DC" w:rsidRPr="006E1170">
        <w:rPr>
          <w:rFonts w:ascii="Calibri" w:hAnsi="Calibri" w:cs="Calibri"/>
          <w:sz w:val="24"/>
        </w:rPr>
        <w:t xml:space="preserve">for posttraumatic stress disorder in the </w:t>
      </w:r>
      <w:r w:rsidR="00987DB8" w:rsidRPr="006E1170">
        <w:rPr>
          <w:rFonts w:ascii="Calibri" w:hAnsi="Calibri" w:cs="Calibri"/>
          <w:sz w:val="24"/>
        </w:rPr>
        <w:t>Statements of Principles should state ‘</w:t>
      </w:r>
      <w:r w:rsidR="00BE22DC" w:rsidRPr="006E1170">
        <w:rPr>
          <w:rFonts w:ascii="Calibri" w:hAnsi="Calibri" w:cs="Calibri"/>
          <w:sz w:val="24"/>
        </w:rPr>
        <w:t xml:space="preserve">having </w:t>
      </w:r>
      <w:r w:rsidR="00ED24C7" w:rsidRPr="006E1170">
        <w:rPr>
          <w:rFonts w:ascii="Calibri" w:hAnsi="Calibri" w:cs="Calibri"/>
          <w:sz w:val="24"/>
        </w:rPr>
        <w:t xml:space="preserve">posttraumatic stress disorder </w:t>
      </w:r>
      <w:r w:rsidR="00987DB8" w:rsidRPr="006E1170">
        <w:rPr>
          <w:rFonts w:ascii="Calibri" w:hAnsi="Calibri" w:cs="Calibri"/>
          <w:sz w:val="24"/>
        </w:rPr>
        <w:t>before the clinical onset</w:t>
      </w:r>
      <w:r w:rsidR="00ED24C7" w:rsidRPr="006E1170">
        <w:rPr>
          <w:rFonts w:ascii="Calibri" w:hAnsi="Calibri" w:cs="Calibri"/>
          <w:sz w:val="24"/>
        </w:rPr>
        <w:t xml:space="preserve"> of Hashimoto thyroiditis</w:t>
      </w:r>
      <w:r w:rsidR="00EC48E8" w:rsidRPr="006E1170">
        <w:rPr>
          <w:rFonts w:ascii="Calibri" w:hAnsi="Calibri" w:cs="Calibri"/>
          <w:sz w:val="24"/>
        </w:rPr>
        <w:t>’</w:t>
      </w:r>
      <w:r w:rsidR="00B04DCF" w:rsidRPr="006E1170">
        <w:rPr>
          <w:rFonts w:ascii="Calibri" w:hAnsi="Calibri" w:cs="Calibri"/>
          <w:sz w:val="24"/>
        </w:rPr>
        <w:t xml:space="preserve"> instead of ‘having posttraumatic stress disorder at the time of clinical onset of </w:t>
      </w:r>
      <w:r w:rsidR="00B04DCF" w:rsidRPr="006E1170">
        <w:rPr>
          <w:rFonts w:ascii="Calibri" w:hAnsi="Calibri" w:cs="Calibri"/>
          <w:sz w:val="24"/>
        </w:rPr>
        <w:lastRenderedPageBreak/>
        <w:t>Hashimoto thyroid</w:t>
      </w:r>
      <w:r w:rsidR="00267649" w:rsidRPr="006E1170">
        <w:rPr>
          <w:rFonts w:ascii="Calibri" w:hAnsi="Calibri" w:cs="Calibri"/>
          <w:sz w:val="24"/>
        </w:rPr>
        <w:t>itis’</w:t>
      </w:r>
      <w:r w:rsidR="007A3055" w:rsidRPr="006E1170">
        <w:rPr>
          <w:rFonts w:ascii="Calibri" w:hAnsi="Calibri" w:cs="Calibri"/>
          <w:sz w:val="24"/>
        </w:rPr>
        <w:t xml:space="preserve">. </w:t>
      </w:r>
      <w:r w:rsidR="00224359" w:rsidRPr="006E1170">
        <w:rPr>
          <w:rFonts w:ascii="Calibri" w:hAnsi="Calibri" w:cs="Calibri"/>
          <w:sz w:val="24"/>
        </w:rPr>
        <w:t>However,</w:t>
      </w:r>
      <w:r w:rsidRPr="006E1170">
        <w:rPr>
          <w:rFonts w:ascii="Calibri" w:hAnsi="Calibri" w:cs="Calibri"/>
          <w:sz w:val="24"/>
        </w:rPr>
        <w:t xml:space="preserve"> the Applicant’s representative noted that this was not a </w:t>
      </w:r>
      <w:r w:rsidR="004854C8" w:rsidRPr="006E1170">
        <w:rPr>
          <w:rFonts w:ascii="Calibri" w:hAnsi="Calibri" w:cs="Calibri"/>
          <w:sz w:val="24"/>
        </w:rPr>
        <w:t xml:space="preserve">significant </w:t>
      </w:r>
      <w:r w:rsidRPr="006E1170">
        <w:rPr>
          <w:rFonts w:ascii="Calibri" w:hAnsi="Calibri" w:cs="Calibri"/>
          <w:sz w:val="24"/>
        </w:rPr>
        <w:t xml:space="preserve">point of contention for the Applicant. </w:t>
      </w:r>
    </w:p>
    <w:p w14:paraId="45F624E2" w14:textId="4A60FF2B" w:rsidR="00804E26" w:rsidRPr="00A451F4" w:rsidRDefault="00116DCE" w:rsidP="00A451F4">
      <w:pPr>
        <w:numPr>
          <w:ilvl w:val="0"/>
          <w:numId w:val="21"/>
        </w:numPr>
        <w:spacing w:before="140" w:after="140" w:line="280" w:lineRule="atLeast"/>
        <w:rPr>
          <w:rFonts w:ascii="Calibri" w:hAnsi="Calibri" w:cs="Calibri"/>
          <w:sz w:val="24"/>
        </w:rPr>
      </w:pPr>
      <w:r>
        <w:rPr>
          <w:rFonts w:ascii="Calibri" w:hAnsi="Calibri" w:cs="Calibri"/>
          <w:sz w:val="24"/>
        </w:rPr>
        <w:t>The representative stated that</w:t>
      </w:r>
      <w:r w:rsidR="00ED0FB6">
        <w:rPr>
          <w:rFonts w:ascii="Calibri" w:hAnsi="Calibri" w:cs="Calibri"/>
          <w:sz w:val="24"/>
        </w:rPr>
        <w:t xml:space="preserve"> </w:t>
      </w:r>
      <w:r w:rsidR="008275C8" w:rsidRPr="008275C8">
        <w:rPr>
          <w:rFonts w:ascii="Calibri" w:hAnsi="Calibri" w:cs="Calibri"/>
          <w:sz w:val="24"/>
        </w:rPr>
        <w:t xml:space="preserve">Jung et al. </w:t>
      </w:r>
      <w:r w:rsidR="00D819C1">
        <w:rPr>
          <w:rFonts w:ascii="Calibri" w:hAnsi="Calibri" w:cs="Calibri"/>
          <w:sz w:val="24"/>
        </w:rPr>
        <w:t>(</w:t>
      </w:r>
      <w:r w:rsidR="008275C8" w:rsidRPr="008275C8">
        <w:rPr>
          <w:rFonts w:ascii="Calibri" w:hAnsi="Calibri" w:cs="Calibri"/>
          <w:sz w:val="24"/>
        </w:rPr>
        <w:t>2019</w:t>
      </w:r>
      <w:r w:rsidR="00D819C1">
        <w:rPr>
          <w:rFonts w:ascii="Calibri" w:hAnsi="Calibri" w:cs="Calibri"/>
          <w:sz w:val="24"/>
        </w:rPr>
        <w:t>)</w:t>
      </w:r>
      <w:r w:rsidR="00867E76">
        <w:rPr>
          <w:rFonts w:ascii="Calibri" w:hAnsi="Calibri" w:cs="Calibri"/>
          <w:sz w:val="24"/>
        </w:rPr>
        <w:t xml:space="preserve"> </w:t>
      </w:r>
      <w:r w:rsidR="008275C8" w:rsidRPr="008275C8">
        <w:rPr>
          <w:rFonts w:ascii="Calibri" w:hAnsi="Calibri" w:cs="Calibri"/>
          <w:sz w:val="24"/>
        </w:rPr>
        <w:t xml:space="preserve">[RMA ID 102800] and O’Donovan et al. </w:t>
      </w:r>
      <w:r w:rsidR="00D819C1">
        <w:rPr>
          <w:rFonts w:ascii="Calibri" w:hAnsi="Calibri" w:cs="Calibri"/>
          <w:sz w:val="24"/>
        </w:rPr>
        <w:t>(</w:t>
      </w:r>
      <w:r w:rsidR="008275C8" w:rsidRPr="008275C8">
        <w:rPr>
          <w:rFonts w:ascii="Calibri" w:hAnsi="Calibri" w:cs="Calibri"/>
          <w:sz w:val="24"/>
        </w:rPr>
        <w:t>2015</w:t>
      </w:r>
      <w:r w:rsidR="00D819C1">
        <w:rPr>
          <w:rFonts w:ascii="Calibri" w:hAnsi="Calibri" w:cs="Calibri"/>
          <w:sz w:val="24"/>
        </w:rPr>
        <w:t>)</w:t>
      </w:r>
      <w:r w:rsidR="008275C8" w:rsidRPr="008275C8">
        <w:rPr>
          <w:rFonts w:ascii="Calibri" w:hAnsi="Calibri" w:cs="Calibri"/>
          <w:sz w:val="24"/>
        </w:rPr>
        <w:t xml:space="preserve"> [RMA ID 102934]) </w:t>
      </w:r>
      <w:r w:rsidR="0002465D" w:rsidRPr="00D819C1">
        <w:rPr>
          <w:rFonts w:ascii="Calibri" w:hAnsi="Calibri" w:cs="Calibri"/>
          <w:sz w:val="24"/>
        </w:rPr>
        <w:t xml:space="preserve">provide </w:t>
      </w:r>
      <w:r w:rsidR="003E386C" w:rsidRPr="00D819C1">
        <w:rPr>
          <w:rFonts w:ascii="Calibri" w:hAnsi="Calibri" w:cs="Calibri"/>
          <w:sz w:val="24"/>
        </w:rPr>
        <w:t>convincing</w:t>
      </w:r>
      <w:r w:rsidR="00B37B1C" w:rsidRPr="00D819C1">
        <w:rPr>
          <w:rFonts w:ascii="Calibri" w:hAnsi="Calibri" w:cs="Calibri"/>
          <w:sz w:val="24"/>
        </w:rPr>
        <w:t xml:space="preserve"> and consistent</w:t>
      </w:r>
      <w:r w:rsidR="003E386C" w:rsidRPr="00D819C1">
        <w:rPr>
          <w:rFonts w:ascii="Calibri" w:hAnsi="Calibri" w:cs="Calibri"/>
          <w:sz w:val="24"/>
        </w:rPr>
        <w:t xml:space="preserve"> evidence of a significant </w:t>
      </w:r>
      <w:r w:rsidR="00921B67" w:rsidRPr="00D819C1">
        <w:rPr>
          <w:rFonts w:ascii="Calibri" w:hAnsi="Calibri" w:cs="Calibri"/>
          <w:sz w:val="24"/>
        </w:rPr>
        <w:t xml:space="preserve">risk </w:t>
      </w:r>
      <w:r w:rsidR="0051109F" w:rsidRPr="00D819C1">
        <w:rPr>
          <w:rFonts w:ascii="Calibri" w:hAnsi="Calibri" w:cs="Calibri"/>
          <w:sz w:val="24"/>
        </w:rPr>
        <w:t>between posttraumatic</w:t>
      </w:r>
      <w:r w:rsidR="0051109F">
        <w:rPr>
          <w:rFonts w:ascii="Calibri" w:hAnsi="Calibri" w:cs="Calibri"/>
          <w:sz w:val="24"/>
        </w:rPr>
        <w:t xml:space="preserve"> stress disorder and </w:t>
      </w:r>
      <w:r w:rsidR="000229B5">
        <w:rPr>
          <w:rFonts w:ascii="Calibri" w:hAnsi="Calibri" w:cs="Calibri"/>
          <w:sz w:val="24"/>
        </w:rPr>
        <w:t xml:space="preserve">thyroiditis. </w:t>
      </w:r>
      <w:r w:rsidR="004F0545">
        <w:rPr>
          <w:rFonts w:ascii="Calibri" w:hAnsi="Calibri" w:cs="Calibri"/>
          <w:sz w:val="24"/>
        </w:rPr>
        <w:t>The representative</w:t>
      </w:r>
      <w:r w:rsidR="008D3E3F" w:rsidRPr="00A451F4">
        <w:rPr>
          <w:rFonts w:ascii="Calibri" w:hAnsi="Calibri" w:cs="Calibri"/>
          <w:sz w:val="24"/>
        </w:rPr>
        <w:t xml:space="preserve"> noted </w:t>
      </w:r>
      <w:r w:rsidR="00BF1290" w:rsidRPr="00A451F4">
        <w:rPr>
          <w:rFonts w:ascii="Calibri" w:hAnsi="Calibri" w:cs="Calibri"/>
          <w:sz w:val="24"/>
        </w:rPr>
        <w:t xml:space="preserve">at the hearing </w:t>
      </w:r>
      <w:r w:rsidR="008D3E3F" w:rsidRPr="00A451F4">
        <w:rPr>
          <w:rFonts w:ascii="Calibri" w:hAnsi="Calibri" w:cs="Calibri"/>
          <w:sz w:val="24"/>
        </w:rPr>
        <w:t xml:space="preserve">that </w:t>
      </w:r>
      <w:r w:rsidR="00077EF3" w:rsidRPr="00A451F4">
        <w:rPr>
          <w:rFonts w:ascii="Calibri" w:hAnsi="Calibri" w:cs="Calibri"/>
          <w:sz w:val="24"/>
        </w:rPr>
        <w:t xml:space="preserve">in </w:t>
      </w:r>
      <w:r w:rsidR="00AB7F80" w:rsidRPr="00A451F4">
        <w:rPr>
          <w:rFonts w:ascii="Calibri" w:hAnsi="Calibri" w:cs="Calibri"/>
          <w:sz w:val="24"/>
        </w:rPr>
        <w:t>the</w:t>
      </w:r>
      <w:r w:rsidR="00077EF3" w:rsidRPr="00A451F4">
        <w:rPr>
          <w:rFonts w:ascii="Calibri" w:hAnsi="Calibri" w:cs="Calibri"/>
          <w:sz w:val="24"/>
        </w:rPr>
        <w:t xml:space="preserve"> large cohort study</w:t>
      </w:r>
      <w:r w:rsidR="00AB7F80" w:rsidRPr="00A451F4">
        <w:rPr>
          <w:rFonts w:ascii="Calibri" w:hAnsi="Calibri" w:cs="Calibri"/>
          <w:sz w:val="24"/>
        </w:rPr>
        <w:t xml:space="preserve"> reported by </w:t>
      </w:r>
      <w:r w:rsidR="001F6BE1" w:rsidRPr="00A451F4">
        <w:rPr>
          <w:rFonts w:ascii="Calibri" w:hAnsi="Calibri" w:cs="Calibri"/>
          <w:sz w:val="24"/>
        </w:rPr>
        <w:t xml:space="preserve">Jung et al. </w:t>
      </w:r>
      <w:r w:rsidR="00D56B0D" w:rsidRPr="00A451F4">
        <w:rPr>
          <w:rFonts w:ascii="Calibri" w:hAnsi="Calibri" w:cs="Calibri"/>
          <w:sz w:val="24"/>
        </w:rPr>
        <w:t>(</w:t>
      </w:r>
      <w:r w:rsidR="001F6BE1" w:rsidRPr="00A451F4">
        <w:rPr>
          <w:rFonts w:ascii="Calibri" w:hAnsi="Calibri" w:cs="Calibri"/>
          <w:sz w:val="24"/>
        </w:rPr>
        <w:t>2019</w:t>
      </w:r>
      <w:r w:rsidR="00D56B0D" w:rsidRPr="00A451F4">
        <w:rPr>
          <w:rFonts w:ascii="Calibri" w:hAnsi="Calibri" w:cs="Calibri"/>
          <w:sz w:val="24"/>
        </w:rPr>
        <w:t>)</w:t>
      </w:r>
      <w:r w:rsidR="001F6BE1" w:rsidRPr="00A451F4">
        <w:rPr>
          <w:rFonts w:ascii="Calibri" w:hAnsi="Calibri" w:cs="Calibri"/>
          <w:sz w:val="24"/>
        </w:rPr>
        <w:t xml:space="preserve"> [RMA ID 102800]</w:t>
      </w:r>
      <w:r w:rsidR="00AB7F80" w:rsidRPr="00A451F4">
        <w:rPr>
          <w:rFonts w:ascii="Calibri" w:hAnsi="Calibri" w:cs="Calibri"/>
          <w:sz w:val="24"/>
        </w:rPr>
        <w:t>, the</w:t>
      </w:r>
      <w:r w:rsidR="00077EF3" w:rsidRPr="00A451F4">
        <w:rPr>
          <w:rFonts w:ascii="Calibri" w:hAnsi="Calibri" w:cs="Calibri"/>
          <w:sz w:val="24"/>
        </w:rPr>
        <w:t xml:space="preserve"> hazard ratios </w:t>
      </w:r>
      <w:r w:rsidR="00AB7F80" w:rsidRPr="00A451F4">
        <w:rPr>
          <w:rFonts w:ascii="Calibri" w:hAnsi="Calibri" w:cs="Calibri"/>
          <w:sz w:val="24"/>
        </w:rPr>
        <w:t xml:space="preserve">reported were </w:t>
      </w:r>
      <w:r w:rsidR="00077EF3" w:rsidRPr="00A451F4">
        <w:rPr>
          <w:rFonts w:ascii="Calibri" w:hAnsi="Calibri" w:cs="Calibri"/>
          <w:sz w:val="24"/>
        </w:rPr>
        <w:t xml:space="preserve">consistently greater than 1.1, with some models showing hazard ratios up to 1.4 for the association between </w:t>
      </w:r>
      <w:r w:rsidR="00630DDE" w:rsidRPr="00A451F4">
        <w:rPr>
          <w:rFonts w:ascii="Calibri" w:hAnsi="Calibri" w:cs="Calibri"/>
          <w:sz w:val="24"/>
        </w:rPr>
        <w:t>posttraumatic stress disorder</w:t>
      </w:r>
      <w:r w:rsidR="00077EF3" w:rsidRPr="00A451F4">
        <w:rPr>
          <w:rFonts w:ascii="Calibri" w:hAnsi="Calibri" w:cs="Calibri"/>
          <w:sz w:val="24"/>
        </w:rPr>
        <w:t xml:space="preserve"> and hypothyroidism.</w:t>
      </w:r>
      <w:r w:rsidR="00BA4703" w:rsidRPr="00A451F4">
        <w:rPr>
          <w:rFonts w:ascii="Calibri" w:hAnsi="Calibri" w:cs="Calibri"/>
          <w:sz w:val="24"/>
        </w:rPr>
        <w:t xml:space="preserve"> In </w:t>
      </w:r>
      <w:r w:rsidR="0085503B" w:rsidRPr="00A451F4">
        <w:rPr>
          <w:rFonts w:ascii="Calibri" w:hAnsi="Calibri" w:cs="Calibri"/>
          <w:sz w:val="24"/>
        </w:rPr>
        <w:t xml:space="preserve">a second large cohort study reported by O’Donovan </w:t>
      </w:r>
      <w:r w:rsidR="005921A7" w:rsidRPr="00A451F4">
        <w:rPr>
          <w:rFonts w:ascii="Calibri" w:hAnsi="Calibri" w:cs="Calibri"/>
          <w:sz w:val="24"/>
        </w:rPr>
        <w:t>et al. (2015) [RMA ID 102934],</w:t>
      </w:r>
      <w:r w:rsidR="0085503B" w:rsidRPr="00A451F4">
        <w:rPr>
          <w:rFonts w:ascii="Calibri" w:hAnsi="Calibri" w:cs="Calibri"/>
          <w:sz w:val="24"/>
        </w:rPr>
        <w:t xml:space="preserve"> </w:t>
      </w:r>
      <w:r w:rsidR="00CF4519" w:rsidRPr="00A451F4">
        <w:rPr>
          <w:rFonts w:ascii="Calibri" w:hAnsi="Calibri" w:cs="Calibri"/>
          <w:sz w:val="24"/>
        </w:rPr>
        <w:t xml:space="preserve">the relative risk </w:t>
      </w:r>
      <w:r w:rsidR="00C56024" w:rsidRPr="00A451F4">
        <w:rPr>
          <w:rFonts w:ascii="Calibri" w:hAnsi="Calibri" w:cs="Calibri"/>
          <w:sz w:val="24"/>
        </w:rPr>
        <w:t xml:space="preserve">of thyroiditis </w:t>
      </w:r>
      <w:r w:rsidR="007A2483" w:rsidRPr="00A451F4">
        <w:rPr>
          <w:rFonts w:ascii="Calibri" w:hAnsi="Calibri" w:cs="Calibri"/>
          <w:sz w:val="24"/>
        </w:rPr>
        <w:t xml:space="preserve">reported </w:t>
      </w:r>
      <w:r w:rsidR="005921A7" w:rsidRPr="00A451F4">
        <w:rPr>
          <w:rFonts w:ascii="Calibri" w:hAnsi="Calibri" w:cs="Calibri"/>
          <w:sz w:val="24"/>
        </w:rPr>
        <w:t>was</w:t>
      </w:r>
      <w:r w:rsidR="007A2483" w:rsidRPr="00A451F4">
        <w:rPr>
          <w:rFonts w:ascii="Calibri" w:hAnsi="Calibri" w:cs="Calibri"/>
          <w:sz w:val="24"/>
        </w:rPr>
        <w:t xml:space="preserve"> </w:t>
      </w:r>
      <w:r w:rsidR="001E39AA" w:rsidRPr="00A451F4">
        <w:rPr>
          <w:rFonts w:ascii="Calibri" w:hAnsi="Calibri" w:cs="Calibri"/>
          <w:sz w:val="24"/>
        </w:rPr>
        <w:t>above 2.0</w:t>
      </w:r>
      <w:r w:rsidR="00361B7B" w:rsidRPr="00A451F4">
        <w:rPr>
          <w:rFonts w:ascii="Calibri" w:hAnsi="Calibri" w:cs="Calibri"/>
          <w:sz w:val="24"/>
        </w:rPr>
        <w:t xml:space="preserve"> for </w:t>
      </w:r>
      <w:r w:rsidR="00EB153F" w:rsidRPr="00A451F4">
        <w:rPr>
          <w:rFonts w:ascii="Calibri" w:hAnsi="Calibri" w:cs="Calibri"/>
          <w:sz w:val="24"/>
        </w:rPr>
        <w:t xml:space="preserve">Veterans with </w:t>
      </w:r>
      <w:r w:rsidR="003A7796">
        <w:rPr>
          <w:rFonts w:ascii="Calibri" w:hAnsi="Calibri" w:cs="Calibri"/>
          <w:sz w:val="24"/>
        </w:rPr>
        <w:t>posttraumatic stress disorder</w:t>
      </w:r>
      <w:r w:rsidR="003A7796" w:rsidRPr="00A451F4">
        <w:rPr>
          <w:rFonts w:ascii="Calibri" w:hAnsi="Calibri" w:cs="Calibri"/>
          <w:sz w:val="24"/>
        </w:rPr>
        <w:t xml:space="preserve"> </w:t>
      </w:r>
      <w:r w:rsidR="00C56024" w:rsidRPr="00A451F4">
        <w:rPr>
          <w:rFonts w:ascii="Calibri" w:hAnsi="Calibri" w:cs="Calibri"/>
          <w:sz w:val="24"/>
        </w:rPr>
        <w:t>compared to veterans with no psychiatric disorders</w:t>
      </w:r>
      <w:r w:rsidR="007A3055">
        <w:rPr>
          <w:rFonts w:ascii="Calibri" w:hAnsi="Calibri" w:cs="Calibri"/>
          <w:sz w:val="24"/>
        </w:rPr>
        <w:t xml:space="preserve">. </w:t>
      </w:r>
    </w:p>
    <w:p w14:paraId="6F4AF6CA" w14:textId="179BB612" w:rsidR="005928B2" w:rsidRDefault="005928B2" w:rsidP="00116DCE">
      <w:pPr>
        <w:numPr>
          <w:ilvl w:val="0"/>
          <w:numId w:val="21"/>
        </w:numPr>
        <w:spacing w:before="140" w:after="140" w:line="280" w:lineRule="atLeast"/>
        <w:rPr>
          <w:rFonts w:ascii="Calibri" w:hAnsi="Calibri" w:cs="Calibri"/>
          <w:sz w:val="24"/>
        </w:rPr>
      </w:pPr>
      <w:r>
        <w:rPr>
          <w:rFonts w:ascii="Calibri" w:hAnsi="Calibri" w:cs="Calibri"/>
          <w:sz w:val="24"/>
        </w:rPr>
        <w:t>In summary</w:t>
      </w:r>
      <w:r w:rsidR="007C7A33">
        <w:rPr>
          <w:rFonts w:ascii="Calibri" w:hAnsi="Calibri" w:cs="Calibri"/>
          <w:sz w:val="24"/>
        </w:rPr>
        <w:t>,</w:t>
      </w:r>
      <w:r>
        <w:rPr>
          <w:rFonts w:ascii="Calibri" w:hAnsi="Calibri" w:cs="Calibri"/>
          <w:sz w:val="24"/>
        </w:rPr>
        <w:t xml:space="preserve"> </w:t>
      </w:r>
      <w:r w:rsidR="00E144A8">
        <w:rPr>
          <w:rFonts w:ascii="Calibri" w:hAnsi="Calibri" w:cs="Calibri"/>
          <w:sz w:val="24"/>
        </w:rPr>
        <w:t xml:space="preserve">through </w:t>
      </w:r>
      <w:r w:rsidR="00D075FD">
        <w:rPr>
          <w:rFonts w:ascii="Calibri" w:hAnsi="Calibri" w:cs="Calibri"/>
          <w:sz w:val="24"/>
        </w:rPr>
        <w:t xml:space="preserve">his </w:t>
      </w:r>
      <w:r w:rsidR="00E144A8">
        <w:rPr>
          <w:rFonts w:ascii="Calibri" w:hAnsi="Calibri" w:cs="Calibri"/>
          <w:sz w:val="24"/>
        </w:rPr>
        <w:t xml:space="preserve">representative, the </w:t>
      </w:r>
      <w:r w:rsidR="00867821">
        <w:rPr>
          <w:rFonts w:ascii="Calibri" w:hAnsi="Calibri" w:cs="Calibri"/>
          <w:sz w:val="24"/>
        </w:rPr>
        <w:t>Applicant</w:t>
      </w:r>
      <w:r>
        <w:rPr>
          <w:rFonts w:ascii="Calibri" w:hAnsi="Calibri" w:cs="Calibri"/>
          <w:sz w:val="24"/>
        </w:rPr>
        <w:t xml:space="preserve"> </w:t>
      </w:r>
      <w:r w:rsidR="00867821">
        <w:rPr>
          <w:rFonts w:ascii="Calibri" w:hAnsi="Calibri" w:cs="Calibri"/>
          <w:sz w:val="24"/>
        </w:rPr>
        <w:t>contended</w:t>
      </w:r>
      <w:r w:rsidR="00300CAC">
        <w:rPr>
          <w:rFonts w:ascii="Calibri" w:hAnsi="Calibri" w:cs="Calibri"/>
          <w:sz w:val="24"/>
        </w:rPr>
        <w:t xml:space="preserve"> </w:t>
      </w:r>
      <w:r w:rsidR="00E82C88">
        <w:rPr>
          <w:rFonts w:ascii="Calibri" w:hAnsi="Calibri" w:cs="Calibri"/>
          <w:sz w:val="24"/>
        </w:rPr>
        <w:t xml:space="preserve">that </w:t>
      </w:r>
      <w:r w:rsidR="007C7A33">
        <w:rPr>
          <w:rFonts w:ascii="Calibri" w:hAnsi="Calibri" w:cs="Calibri"/>
          <w:sz w:val="24"/>
        </w:rPr>
        <w:t>these two studies provided e</w:t>
      </w:r>
      <w:r w:rsidR="00300CAC">
        <w:rPr>
          <w:rFonts w:ascii="Calibri" w:hAnsi="Calibri" w:cs="Calibri"/>
          <w:sz w:val="24"/>
        </w:rPr>
        <w:t xml:space="preserve">nough </w:t>
      </w:r>
      <w:r w:rsidR="007C7A33">
        <w:rPr>
          <w:rFonts w:ascii="Calibri" w:hAnsi="Calibri" w:cs="Calibri"/>
          <w:sz w:val="24"/>
        </w:rPr>
        <w:t xml:space="preserve">evidence to </w:t>
      </w:r>
      <w:r w:rsidR="00300CAC" w:rsidRPr="00300CAC">
        <w:rPr>
          <w:rFonts w:ascii="Calibri" w:hAnsi="Calibri" w:cs="Calibri"/>
          <w:sz w:val="24"/>
        </w:rPr>
        <w:t xml:space="preserve">meet the balance of probabilities </w:t>
      </w:r>
      <w:r w:rsidR="00C15500">
        <w:rPr>
          <w:rFonts w:ascii="Calibri" w:hAnsi="Calibri" w:cs="Calibri"/>
          <w:sz w:val="24"/>
        </w:rPr>
        <w:t>test</w:t>
      </w:r>
      <w:r w:rsidR="004C5DA0">
        <w:rPr>
          <w:rFonts w:ascii="Calibri" w:hAnsi="Calibri" w:cs="Calibri"/>
          <w:sz w:val="24"/>
        </w:rPr>
        <w:t>,</w:t>
      </w:r>
      <w:r w:rsidR="005049D6">
        <w:rPr>
          <w:rFonts w:ascii="Calibri" w:hAnsi="Calibri" w:cs="Calibri"/>
          <w:sz w:val="24"/>
        </w:rPr>
        <w:t xml:space="preserve"> in addition to the reasonable hypothesis test</w:t>
      </w:r>
      <w:r w:rsidR="004C5DA0">
        <w:rPr>
          <w:rFonts w:ascii="Calibri" w:hAnsi="Calibri" w:cs="Calibri"/>
          <w:sz w:val="24"/>
        </w:rPr>
        <w:t>,</w:t>
      </w:r>
      <w:r w:rsidR="00300CAC" w:rsidRPr="00300CAC">
        <w:rPr>
          <w:rFonts w:ascii="Calibri" w:hAnsi="Calibri" w:cs="Calibri"/>
          <w:sz w:val="24"/>
        </w:rPr>
        <w:t xml:space="preserve"> to amend the Statements of Principles concerning Hashimoto thyroiditis (Nos. </w:t>
      </w:r>
      <w:r w:rsidR="0073728D">
        <w:rPr>
          <w:rFonts w:ascii="Calibri" w:hAnsi="Calibri" w:cs="Calibri"/>
          <w:sz w:val="24"/>
        </w:rPr>
        <w:t xml:space="preserve">01 and </w:t>
      </w:r>
      <w:r w:rsidR="00300CAC" w:rsidRPr="00300CAC">
        <w:rPr>
          <w:rFonts w:ascii="Calibri" w:hAnsi="Calibri" w:cs="Calibri"/>
          <w:sz w:val="24"/>
        </w:rPr>
        <w:t xml:space="preserve">02 of 2022) to include a factor </w:t>
      </w:r>
      <w:r w:rsidR="00EE2157">
        <w:rPr>
          <w:rFonts w:ascii="Calibri" w:hAnsi="Calibri" w:cs="Calibri"/>
          <w:sz w:val="24"/>
        </w:rPr>
        <w:t>for having</w:t>
      </w:r>
      <w:r w:rsidR="00EE2157" w:rsidRPr="00300CAC">
        <w:rPr>
          <w:rFonts w:ascii="Calibri" w:hAnsi="Calibri" w:cs="Calibri"/>
          <w:sz w:val="24"/>
        </w:rPr>
        <w:t xml:space="preserve"> </w:t>
      </w:r>
      <w:r w:rsidR="00300CAC" w:rsidRPr="00300CAC">
        <w:rPr>
          <w:rFonts w:ascii="Calibri" w:hAnsi="Calibri" w:cs="Calibri"/>
          <w:sz w:val="24"/>
        </w:rPr>
        <w:t>posttraumatic stress disorder</w:t>
      </w:r>
      <w:r w:rsidR="00EE2157">
        <w:rPr>
          <w:rFonts w:ascii="Calibri" w:hAnsi="Calibri" w:cs="Calibri"/>
          <w:sz w:val="24"/>
        </w:rPr>
        <w:t xml:space="preserve"> before the </w:t>
      </w:r>
      <w:r w:rsidR="006252CA">
        <w:rPr>
          <w:rFonts w:ascii="Calibri" w:hAnsi="Calibri" w:cs="Calibri"/>
          <w:sz w:val="24"/>
        </w:rPr>
        <w:t>clinical onset</w:t>
      </w:r>
      <w:r w:rsidR="009C48BB">
        <w:rPr>
          <w:rFonts w:ascii="Calibri" w:hAnsi="Calibri" w:cs="Calibri"/>
          <w:sz w:val="24"/>
        </w:rPr>
        <w:t xml:space="preserve"> or </w:t>
      </w:r>
      <w:r w:rsidR="006252CA">
        <w:rPr>
          <w:rFonts w:ascii="Calibri" w:hAnsi="Calibri" w:cs="Calibri"/>
          <w:sz w:val="24"/>
        </w:rPr>
        <w:t>worsening of Hashimoto thyroiditis</w:t>
      </w:r>
      <w:r w:rsidR="00300CAC" w:rsidRPr="00300CAC">
        <w:rPr>
          <w:rFonts w:ascii="Calibri" w:hAnsi="Calibri" w:cs="Calibri"/>
          <w:sz w:val="24"/>
        </w:rPr>
        <w:t xml:space="preserve">. </w:t>
      </w:r>
    </w:p>
    <w:p w14:paraId="460ECB42" w14:textId="77777777" w:rsidR="00890E66" w:rsidRPr="00F54093" w:rsidRDefault="00890E66" w:rsidP="00890E66">
      <w:pPr>
        <w:rPr>
          <w:rFonts w:ascii="Calibri" w:hAnsi="Calibri" w:cs="Calibri"/>
          <w:szCs w:val="22"/>
        </w:rPr>
      </w:pPr>
    </w:p>
    <w:p w14:paraId="460ECB43" w14:textId="202E7D80" w:rsidR="00B528A3" w:rsidRPr="00F54093" w:rsidRDefault="00B528A3" w:rsidP="00FE374D">
      <w:pPr>
        <w:pStyle w:val="Heading1"/>
      </w:pPr>
      <w:bookmarkStart w:id="20" w:name="_Toc193702351"/>
      <w:bookmarkStart w:id="21" w:name="_Toc415481400"/>
      <w:r w:rsidRPr="00F54093">
        <w:t xml:space="preserve">Council's decisions on the relevant </w:t>
      </w:r>
      <w:r w:rsidR="00FA179F">
        <w:t>SOUND MEDICAL-SCIENTIFIC EVIDENCE</w:t>
      </w:r>
      <w:bookmarkEnd w:id="20"/>
      <w:r w:rsidR="00FA179F">
        <w:t xml:space="preserve"> </w:t>
      </w:r>
      <w:bookmarkEnd w:id="21"/>
    </w:p>
    <w:p w14:paraId="460ECB44" w14:textId="77777777" w:rsidR="00B528A3" w:rsidRPr="00F54093" w:rsidRDefault="00B528A3" w:rsidP="00B528A3">
      <w:pPr>
        <w:spacing w:after="140" w:line="280" w:lineRule="atLeast"/>
        <w:rPr>
          <w:rFonts w:ascii="Calibri" w:hAnsi="Calibri" w:cs="Calibri"/>
          <w:szCs w:val="22"/>
        </w:rPr>
      </w:pPr>
    </w:p>
    <w:p w14:paraId="460ECB45" w14:textId="1AA97340" w:rsidR="00B528A3" w:rsidRPr="00F54093" w:rsidRDefault="00B528A3" w:rsidP="00116DCE">
      <w:pPr>
        <w:numPr>
          <w:ilvl w:val="0"/>
          <w:numId w:val="21"/>
        </w:numPr>
        <w:spacing w:after="140" w:line="280" w:lineRule="atLeast"/>
        <w:rPr>
          <w:rFonts w:ascii="Calibri" w:hAnsi="Calibri" w:cs="Calibri"/>
          <w:sz w:val="24"/>
        </w:rPr>
      </w:pPr>
      <w:r w:rsidRPr="00F54093">
        <w:rPr>
          <w:rFonts w:ascii="Calibri" w:hAnsi="Calibri" w:cs="Calibri"/>
          <w:sz w:val="24"/>
        </w:rPr>
        <w:t xml:space="preserve">The Council considered that the </w:t>
      </w:r>
      <w:r w:rsidR="00545A58" w:rsidRPr="00545A58">
        <w:rPr>
          <w:rFonts w:ascii="Calibri" w:hAnsi="Calibri" w:cs="Calibri"/>
          <w:sz w:val="24"/>
        </w:rPr>
        <w:t>sound medical-scientific evidence</w:t>
      </w:r>
      <w:r w:rsidR="00545A58">
        <w:rPr>
          <w:rFonts w:ascii="Calibri" w:hAnsi="Calibri" w:cs="Calibri"/>
          <w:sz w:val="24"/>
        </w:rPr>
        <w:t xml:space="preserve"> </w:t>
      </w:r>
      <w:r w:rsidRPr="00F54093">
        <w:rPr>
          <w:rFonts w:ascii="Calibri" w:hAnsi="Calibri" w:cs="Calibri"/>
          <w:sz w:val="24"/>
        </w:rPr>
        <w:t>to be considered in the review should comprise information:</w:t>
      </w:r>
    </w:p>
    <w:p w14:paraId="460ECB46" w14:textId="77777777" w:rsidR="00B528A3" w:rsidRPr="00F54093" w:rsidRDefault="00B528A3" w:rsidP="00116DCE">
      <w:pPr>
        <w:numPr>
          <w:ilvl w:val="0"/>
          <w:numId w:val="24"/>
        </w:numPr>
        <w:spacing w:after="140" w:line="280" w:lineRule="atLeast"/>
        <w:rPr>
          <w:rFonts w:ascii="Calibri" w:hAnsi="Calibri" w:cs="Calibri"/>
          <w:sz w:val="24"/>
        </w:rPr>
      </w:pPr>
      <w:r w:rsidRPr="00F54093">
        <w:rPr>
          <w:rFonts w:ascii="Calibri" w:hAnsi="Calibri" w:cs="Calibri"/>
          <w:sz w:val="24"/>
        </w:rPr>
        <w:t xml:space="preserve">that was available to the RMA at the relevant </w:t>
      </w:r>
      <w:proofErr w:type="gramStart"/>
      <w:r w:rsidRPr="00F54093">
        <w:rPr>
          <w:rFonts w:ascii="Calibri" w:hAnsi="Calibri" w:cs="Calibri"/>
          <w:sz w:val="24"/>
        </w:rPr>
        <w:t>times;</w:t>
      </w:r>
      <w:proofErr w:type="gramEnd"/>
      <w:r w:rsidRPr="00F54093">
        <w:rPr>
          <w:rFonts w:ascii="Calibri" w:hAnsi="Calibri" w:cs="Calibri"/>
          <w:sz w:val="24"/>
        </w:rPr>
        <w:t xml:space="preserve"> </w:t>
      </w:r>
    </w:p>
    <w:p w14:paraId="460ECB47" w14:textId="77777777" w:rsidR="00B528A3" w:rsidRPr="00F54093" w:rsidRDefault="00B528A3" w:rsidP="00116DCE">
      <w:pPr>
        <w:numPr>
          <w:ilvl w:val="0"/>
          <w:numId w:val="24"/>
        </w:numPr>
        <w:spacing w:after="140" w:line="280" w:lineRule="atLeast"/>
        <w:rPr>
          <w:rFonts w:ascii="Calibri" w:hAnsi="Calibri" w:cs="Calibri"/>
          <w:sz w:val="24"/>
        </w:rPr>
      </w:pPr>
      <w:r w:rsidRPr="00F54093">
        <w:rPr>
          <w:rFonts w:ascii="Calibri" w:hAnsi="Calibri" w:cs="Calibri"/>
          <w:sz w:val="24"/>
        </w:rPr>
        <w:t xml:space="preserve">which was sent by the RMA to the Council under section 196K of the </w:t>
      </w:r>
      <w:proofErr w:type="gramStart"/>
      <w:r w:rsidRPr="00F54093">
        <w:rPr>
          <w:rFonts w:ascii="Calibri" w:hAnsi="Calibri" w:cs="Calibri"/>
          <w:sz w:val="24"/>
        </w:rPr>
        <w:t>VEA;</w:t>
      </w:r>
      <w:proofErr w:type="gramEnd"/>
      <w:r w:rsidRPr="00F54093">
        <w:rPr>
          <w:rFonts w:ascii="Calibri" w:hAnsi="Calibri" w:cs="Calibri"/>
          <w:sz w:val="24"/>
        </w:rPr>
        <w:t xml:space="preserve"> </w:t>
      </w:r>
    </w:p>
    <w:p w14:paraId="460ECB48" w14:textId="77777777" w:rsidR="00B528A3" w:rsidRPr="00F54093" w:rsidRDefault="00B528A3" w:rsidP="00116DCE">
      <w:pPr>
        <w:numPr>
          <w:ilvl w:val="0"/>
          <w:numId w:val="24"/>
        </w:numPr>
        <w:spacing w:after="140" w:line="280" w:lineRule="atLeast"/>
        <w:rPr>
          <w:rFonts w:ascii="Calibri" w:hAnsi="Calibri" w:cs="Calibri"/>
          <w:sz w:val="24"/>
        </w:rPr>
      </w:pPr>
      <w:r w:rsidRPr="00F54093">
        <w:rPr>
          <w:rFonts w:ascii="Calibri" w:hAnsi="Calibri" w:cs="Calibri"/>
          <w:sz w:val="24"/>
        </w:rPr>
        <w:t>which was considered by the Council to be sound medical-scientific evidence as defined in section 5</w:t>
      </w:r>
      <w:proofErr w:type="gramStart"/>
      <w:r w:rsidRPr="00F54093">
        <w:rPr>
          <w:rFonts w:ascii="Calibri" w:hAnsi="Calibri" w:cs="Calibri"/>
          <w:sz w:val="24"/>
        </w:rPr>
        <w:t>AB(</w:t>
      </w:r>
      <w:proofErr w:type="gramEnd"/>
      <w:r w:rsidRPr="00F54093">
        <w:rPr>
          <w:rFonts w:ascii="Calibri" w:hAnsi="Calibri" w:cs="Calibri"/>
          <w:sz w:val="24"/>
        </w:rPr>
        <w:t>2) of the VEA being information which:</w:t>
      </w:r>
    </w:p>
    <w:p w14:paraId="460ECB49" w14:textId="77777777" w:rsidR="00B528A3" w:rsidRPr="00F54093" w:rsidRDefault="00B528A3" w:rsidP="00116DCE">
      <w:pPr>
        <w:numPr>
          <w:ilvl w:val="1"/>
          <w:numId w:val="19"/>
        </w:numPr>
        <w:tabs>
          <w:tab w:val="left" w:pos="1620"/>
        </w:tabs>
        <w:spacing w:after="140" w:line="280" w:lineRule="atLeast"/>
        <w:rPr>
          <w:rFonts w:ascii="Calibri" w:hAnsi="Calibri" w:cs="Calibri"/>
          <w:sz w:val="24"/>
        </w:rPr>
      </w:pPr>
      <w:r w:rsidRPr="00F54093">
        <w:rPr>
          <w:rFonts w:ascii="Calibri" w:hAnsi="Calibri" w:cs="Calibri"/>
          <w:sz w:val="24"/>
        </w:rPr>
        <w:t xml:space="preserve">epidemiologists would consider appropriate to </w:t>
      </w:r>
      <w:proofErr w:type="gramStart"/>
      <w:r w:rsidRPr="00F54093">
        <w:rPr>
          <w:rFonts w:ascii="Calibri" w:hAnsi="Calibri" w:cs="Calibri"/>
          <w:sz w:val="24"/>
        </w:rPr>
        <w:t>take into account</w:t>
      </w:r>
      <w:proofErr w:type="gramEnd"/>
      <w:r w:rsidRPr="00F54093">
        <w:rPr>
          <w:rFonts w:ascii="Calibri" w:hAnsi="Calibri" w:cs="Calibri"/>
          <w:sz w:val="24"/>
        </w:rPr>
        <w:t>; and</w:t>
      </w:r>
    </w:p>
    <w:p w14:paraId="460ECB4A" w14:textId="18A168DF" w:rsidR="00B528A3" w:rsidRPr="00F54093" w:rsidRDefault="00B528A3" w:rsidP="00116DCE">
      <w:pPr>
        <w:numPr>
          <w:ilvl w:val="1"/>
          <w:numId w:val="19"/>
        </w:numPr>
        <w:tabs>
          <w:tab w:val="left" w:pos="1620"/>
        </w:tabs>
        <w:spacing w:after="140" w:line="280" w:lineRule="atLeast"/>
        <w:rPr>
          <w:rFonts w:ascii="Calibri" w:hAnsi="Calibri" w:cs="Calibri"/>
          <w:sz w:val="24"/>
        </w:rPr>
      </w:pPr>
      <w:r w:rsidRPr="00F54093">
        <w:rPr>
          <w:rFonts w:ascii="Calibri" w:hAnsi="Calibri" w:cs="Calibri"/>
          <w:sz w:val="24"/>
        </w:rPr>
        <w:t>in the Council's view</w:t>
      </w:r>
      <w:r w:rsidR="00CB3062">
        <w:rPr>
          <w:rFonts w:ascii="Calibri" w:hAnsi="Calibri" w:cs="Calibri"/>
          <w:sz w:val="24"/>
        </w:rPr>
        <w:t>,</w:t>
      </w:r>
      <w:r w:rsidRPr="00F54093">
        <w:rPr>
          <w:rFonts w:ascii="Calibri" w:hAnsi="Calibri" w:cs="Calibri"/>
          <w:sz w:val="24"/>
        </w:rPr>
        <w:t xml:space="preserve"> 'touches on' (is relevant to) matters within the scope of review. </w:t>
      </w:r>
    </w:p>
    <w:p w14:paraId="460ECB4C" w14:textId="2203C52F" w:rsidR="00B528A3" w:rsidRPr="00F01E5A" w:rsidRDefault="00B528A3" w:rsidP="00F01E5A">
      <w:pPr>
        <w:numPr>
          <w:ilvl w:val="0"/>
          <w:numId w:val="21"/>
        </w:numPr>
        <w:spacing w:before="140" w:after="140" w:line="280" w:lineRule="atLeast"/>
        <w:rPr>
          <w:rFonts w:ascii="Calibri" w:hAnsi="Calibri" w:cs="Calibri"/>
          <w:sz w:val="24"/>
        </w:rPr>
      </w:pPr>
      <w:r w:rsidRPr="00F01E5A">
        <w:rPr>
          <w:rFonts w:ascii="Calibri" w:hAnsi="Calibri" w:cs="Calibri"/>
          <w:sz w:val="24"/>
        </w:rPr>
        <w:t xml:space="preserve">The Council's final decision on the </w:t>
      </w:r>
      <w:r w:rsidR="00545A58" w:rsidRPr="00F01E5A">
        <w:rPr>
          <w:rFonts w:ascii="Calibri" w:hAnsi="Calibri" w:cs="Calibri"/>
          <w:sz w:val="24"/>
        </w:rPr>
        <w:t xml:space="preserve">sound medical-scientific evidence </w:t>
      </w:r>
      <w:r w:rsidRPr="00F01E5A">
        <w:rPr>
          <w:rFonts w:ascii="Calibri" w:hAnsi="Calibri" w:cs="Calibri"/>
          <w:sz w:val="24"/>
        </w:rPr>
        <w:t xml:space="preserve">for the review was that it should comprise the information listed in </w:t>
      </w:r>
      <w:r w:rsidRPr="00F01E5A">
        <w:rPr>
          <w:rFonts w:ascii="Calibri" w:hAnsi="Calibri" w:cs="Calibri"/>
          <w:b/>
          <w:sz w:val="24"/>
        </w:rPr>
        <w:t xml:space="preserve">Table </w:t>
      </w:r>
      <w:r w:rsidR="00EB3F04" w:rsidRPr="00F01E5A">
        <w:rPr>
          <w:rFonts w:ascii="Calibri" w:hAnsi="Calibri" w:cs="Calibri"/>
          <w:b/>
          <w:sz w:val="24"/>
        </w:rPr>
        <w:t xml:space="preserve">1 </w:t>
      </w:r>
      <w:r w:rsidR="00CC47B6" w:rsidRPr="00F01E5A">
        <w:rPr>
          <w:rFonts w:ascii="Calibri" w:hAnsi="Calibri" w:cs="Calibri"/>
          <w:b/>
          <w:sz w:val="24"/>
        </w:rPr>
        <w:t xml:space="preserve">in </w:t>
      </w:r>
      <w:r w:rsidRPr="00F01E5A">
        <w:rPr>
          <w:rFonts w:ascii="Calibri" w:hAnsi="Calibri" w:cs="Calibri"/>
          <w:b/>
          <w:sz w:val="24"/>
        </w:rPr>
        <w:t>Appendix A</w:t>
      </w:r>
      <w:r w:rsidRPr="00F01E5A">
        <w:rPr>
          <w:rFonts w:ascii="Calibri" w:hAnsi="Calibri" w:cs="Calibri"/>
          <w:sz w:val="24"/>
        </w:rPr>
        <w:t>.</w:t>
      </w:r>
    </w:p>
    <w:p w14:paraId="460ECB4D" w14:textId="1928F468" w:rsidR="00B528A3" w:rsidRPr="00F54093" w:rsidRDefault="00B528A3" w:rsidP="00FE374D">
      <w:pPr>
        <w:pStyle w:val="Heading1"/>
      </w:pPr>
      <w:bookmarkStart w:id="22" w:name="_Toc193702352"/>
      <w:bookmarkStart w:id="23" w:name="_Toc412714406"/>
      <w:bookmarkStart w:id="24" w:name="_Toc415481401"/>
      <w:bookmarkStart w:id="25" w:name="_Toc415563748"/>
      <w:r w:rsidRPr="00F54093">
        <w:t xml:space="preserve">COUNCIL’S EVALUATION OF THE </w:t>
      </w:r>
      <w:r w:rsidR="00FA179F">
        <w:t>SOUND MEDICAL-SCIENTIFIC EVIDENCE</w:t>
      </w:r>
      <w:bookmarkEnd w:id="22"/>
      <w:r w:rsidR="00FA179F">
        <w:t xml:space="preserve"> </w:t>
      </w:r>
      <w:bookmarkEnd w:id="23"/>
      <w:bookmarkEnd w:id="24"/>
      <w:bookmarkEnd w:id="25"/>
      <w:r w:rsidRPr="00F54093">
        <w:t xml:space="preserve"> </w:t>
      </w:r>
    </w:p>
    <w:p w14:paraId="460ECB4E" w14:textId="77777777" w:rsidR="00B528A3" w:rsidRPr="00F54093" w:rsidRDefault="00B528A3" w:rsidP="00B528A3">
      <w:pPr>
        <w:spacing w:line="280" w:lineRule="atLeast"/>
        <w:rPr>
          <w:rFonts w:ascii="Calibri" w:hAnsi="Calibri" w:cs="Calibri"/>
          <w:szCs w:val="22"/>
        </w:rPr>
      </w:pPr>
    </w:p>
    <w:p w14:paraId="460ECB4F" w14:textId="57BD87D5" w:rsidR="00B528A3" w:rsidRPr="00F54093" w:rsidRDefault="00B528A3" w:rsidP="00116DCE">
      <w:pPr>
        <w:numPr>
          <w:ilvl w:val="0"/>
          <w:numId w:val="21"/>
        </w:numPr>
        <w:spacing w:after="240"/>
        <w:rPr>
          <w:rFonts w:ascii="Calibri" w:hAnsi="Calibri" w:cs="Calibri"/>
          <w:snapToGrid w:val="0"/>
          <w:lang w:eastAsia="en-US"/>
        </w:rPr>
      </w:pPr>
      <w:r w:rsidRPr="00F54093">
        <w:rPr>
          <w:rFonts w:ascii="Calibri" w:hAnsi="Calibri" w:cs="Calibri"/>
          <w:snapToGrid w:val="0"/>
          <w:sz w:val="24"/>
          <w:lang w:eastAsia="en-US"/>
        </w:rPr>
        <w:t xml:space="preserve">When evaluating the </w:t>
      </w:r>
      <w:r w:rsidR="00545A58" w:rsidRPr="00545A58">
        <w:rPr>
          <w:rFonts w:ascii="Calibri" w:hAnsi="Calibri" w:cs="Calibri"/>
          <w:snapToGrid w:val="0"/>
          <w:sz w:val="24"/>
          <w:lang w:eastAsia="en-US"/>
        </w:rPr>
        <w:t>sound medical-scientific evidence</w:t>
      </w:r>
      <w:r w:rsidRPr="00F54093">
        <w:rPr>
          <w:rFonts w:ascii="Calibri" w:hAnsi="Calibri" w:cs="Calibri"/>
          <w:snapToGrid w:val="0"/>
          <w:sz w:val="24"/>
          <w:lang w:eastAsia="en-US"/>
        </w:rPr>
        <w:t xml:space="preserve">, the Council focussed on information relevant to the scope of the review and the list </w:t>
      </w:r>
      <w:r w:rsidR="00C63D51">
        <w:rPr>
          <w:rFonts w:ascii="Calibri" w:hAnsi="Calibri" w:cs="Calibri"/>
          <w:snapToGrid w:val="0"/>
          <w:sz w:val="24"/>
          <w:lang w:eastAsia="en-US"/>
        </w:rPr>
        <w:t>in</w:t>
      </w:r>
      <w:r w:rsidR="00C63D51" w:rsidRPr="00F54093">
        <w:rPr>
          <w:rFonts w:ascii="Calibri" w:hAnsi="Calibri" w:cs="Calibri"/>
          <w:snapToGrid w:val="0"/>
          <w:sz w:val="24"/>
          <w:lang w:eastAsia="en-US"/>
        </w:rPr>
        <w:t xml:space="preserve"> </w:t>
      </w:r>
      <w:r w:rsidRPr="00F54093">
        <w:rPr>
          <w:rFonts w:ascii="Calibri" w:hAnsi="Calibri" w:cs="Calibri"/>
          <w:b/>
          <w:snapToGrid w:val="0"/>
          <w:sz w:val="24"/>
          <w:lang w:eastAsia="en-US"/>
        </w:rPr>
        <w:t xml:space="preserve">Table </w:t>
      </w:r>
      <w:r w:rsidR="00EB3F04">
        <w:rPr>
          <w:rFonts w:ascii="Calibri" w:hAnsi="Calibri" w:cs="Calibri"/>
          <w:b/>
          <w:snapToGrid w:val="0"/>
          <w:sz w:val="24"/>
          <w:lang w:eastAsia="en-US"/>
        </w:rPr>
        <w:t>1</w:t>
      </w:r>
      <w:r w:rsidRPr="00F54093">
        <w:rPr>
          <w:rFonts w:ascii="Calibri" w:hAnsi="Calibri" w:cs="Calibri"/>
          <w:b/>
          <w:snapToGrid w:val="0"/>
          <w:sz w:val="24"/>
          <w:lang w:eastAsia="en-US"/>
        </w:rPr>
        <w:t xml:space="preserve"> of Appendix A</w:t>
      </w:r>
      <w:r w:rsidRPr="00F54093">
        <w:rPr>
          <w:rFonts w:ascii="Calibri" w:hAnsi="Calibri" w:cs="Calibri"/>
          <w:snapToGrid w:val="0"/>
          <w:sz w:val="24"/>
          <w:lang w:eastAsia="en-US"/>
        </w:rPr>
        <w:t xml:space="preserve">. </w:t>
      </w:r>
    </w:p>
    <w:p w14:paraId="460ECB50" w14:textId="41FA5D47" w:rsidR="00B528A3" w:rsidRPr="00F54093" w:rsidRDefault="00B528A3" w:rsidP="00116DCE">
      <w:pPr>
        <w:numPr>
          <w:ilvl w:val="0"/>
          <w:numId w:val="21"/>
        </w:numPr>
        <w:spacing w:before="140" w:after="140" w:line="280" w:lineRule="atLeast"/>
        <w:rPr>
          <w:rFonts w:ascii="Calibri" w:hAnsi="Calibri" w:cs="Calibri"/>
          <w:sz w:val="24"/>
        </w:rPr>
      </w:pPr>
      <w:r w:rsidRPr="00F54093">
        <w:rPr>
          <w:rFonts w:ascii="Calibri" w:hAnsi="Calibri" w:cs="Calibri"/>
          <w:sz w:val="24"/>
        </w:rPr>
        <w:lastRenderedPageBreak/>
        <w:t xml:space="preserve">In forming its decisions on the </w:t>
      </w:r>
      <w:r w:rsidR="00545A58" w:rsidRPr="00545A58">
        <w:rPr>
          <w:rFonts w:ascii="Calibri" w:hAnsi="Calibri" w:cs="Calibri"/>
          <w:sz w:val="24"/>
        </w:rPr>
        <w:t>sound medical-scientific evidence</w:t>
      </w:r>
      <w:r w:rsidRPr="00F54093">
        <w:rPr>
          <w:rFonts w:ascii="Calibri" w:hAnsi="Calibri" w:cs="Calibri"/>
          <w:sz w:val="24"/>
        </w:rPr>
        <w:t xml:space="preserve">, the Council brings to bear its scientific expertise and judgement. The Bradford Hill criteria and other tools or criteria appropriate to be </w:t>
      </w:r>
      <w:r w:rsidR="004D73A4">
        <w:rPr>
          <w:rFonts w:ascii="Calibri" w:hAnsi="Calibri" w:cs="Calibri"/>
          <w:sz w:val="24"/>
        </w:rPr>
        <w:t>considered</w:t>
      </w:r>
      <w:r w:rsidRPr="00F54093">
        <w:rPr>
          <w:rFonts w:ascii="Calibri" w:hAnsi="Calibri" w:cs="Calibri"/>
          <w:sz w:val="24"/>
        </w:rPr>
        <w:t xml:space="preserve"> by epidemiologists were applied to the articles as </w:t>
      </w:r>
      <w:r w:rsidR="00DE55FA">
        <w:rPr>
          <w:rFonts w:ascii="Calibri" w:hAnsi="Calibri" w:cs="Calibri"/>
          <w:sz w:val="24"/>
        </w:rPr>
        <w:t>deemed</w:t>
      </w:r>
      <w:r w:rsidRPr="00F54093">
        <w:rPr>
          <w:rFonts w:ascii="Calibri" w:hAnsi="Calibri" w:cs="Calibri"/>
          <w:sz w:val="24"/>
        </w:rPr>
        <w:t xml:space="preserve"> appropriate.</w:t>
      </w:r>
    </w:p>
    <w:p w14:paraId="460ECB51" w14:textId="426C0222" w:rsidR="00B528A3" w:rsidRPr="00F54093" w:rsidRDefault="00B528A3" w:rsidP="00116DCE">
      <w:pPr>
        <w:numPr>
          <w:ilvl w:val="0"/>
          <w:numId w:val="21"/>
        </w:numPr>
        <w:spacing w:before="140" w:after="140" w:line="280" w:lineRule="atLeast"/>
        <w:rPr>
          <w:rFonts w:ascii="Calibri" w:hAnsi="Calibri" w:cs="Calibri"/>
          <w:sz w:val="24"/>
        </w:rPr>
      </w:pPr>
      <w:r w:rsidRPr="00F54093">
        <w:rPr>
          <w:rFonts w:ascii="Calibri" w:hAnsi="Calibri" w:cs="Calibri"/>
          <w:sz w:val="24"/>
        </w:rPr>
        <w:t>The Council also considered any methodological limitations or flaws (including statistical power, control of confounders, bias, exposure assessment methods</w:t>
      </w:r>
      <w:r w:rsidR="0086176D">
        <w:rPr>
          <w:rFonts w:ascii="Calibri" w:hAnsi="Calibri" w:cs="Calibri"/>
          <w:sz w:val="24"/>
        </w:rPr>
        <w:t>,</w:t>
      </w:r>
      <w:r w:rsidRPr="00F54093">
        <w:rPr>
          <w:rFonts w:ascii="Calibri" w:hAnsi="Calibri" w:cs="Calibri"/>
          <w:sz w:val="24"/>
        </w:rPr>
        <w:t xml:space="preserve"> etc.) in the various articles.</w:t>
      </w:r>
    </w:p>
    <w:p w14:paraId="460ECB52" w14:textId="77777777" w:rsidR="00B528A3" w:rsidRPr="00F54093" w:rsidRDefault="00B528A3" w:rsidP="00116DCE">
      <w:pPr>
        <w:numPr>
          <w:ilvl w:val="0"/>
          <w:numId w:val="21"/>
        </w:numPr>
        <w:spacing w:before="140" w:after="140" w:line="280" w:lineRule="atLeast"/>
        <w:rPr>
          <w:rFonts w:ascii="Calibri" w:hAnsi="Calibri" w:cs="Calibri"/>
          <w:sz w:val="24"/>
        </w:rPr>
      </w:pPr>
      <w:r w:rsidRPr="00F54093">
        <w:rPr>
          <w:rFonts w:ascii="Calibri" w:hAnsi="Calibri" w:cs="Calibri"/>
          <w:sz w:val="24"/>
        </w:rPr>
        <w:t xml:space="preserve">For ease of reference, the Bradford Hill criteria (noting that these are not exhaustive) are: </w:t>
      </w:r>
    </w:p>
    <w:p w14:paraId="460ECB53" w14:textId="77777777" w:rsidR="00B528A3" w:rsidRPr="00F54093" w:rsidRDefault="00B528A3" w:rsidP="00116DCE">
      <w:pPr>
        <w:numPr>
          <w:ilvl w:val="0"/>
          <w:numId w:val="20"/>
        </w:numPr>
        <w:spacing w:after="140" w:line="280" w:lineRule="atLeast"/>
        <w:rPr>
          <w:rFonts w:ascii="Calibri" w:hAnsi="Calibri" w:cs="Calibri"/>
          <w:sz w:val="24"/>
        </w:rPr>
      </w:pPr>
      <w:r w:rsidRPr="00F54093">
        <w:rPr>
          <w:rFonts w:ascii="Calibri" w:hAnsi="Calibri" w:cs="Calibri"/>
          <w:sz w:val="24"/>
        </w:rPr>
        <w:t>strength of association</w:t>
      </w:r>
    </w:p>
    <w:p w14:paraId="460ECB54" w14:textId="716C9E17" w:rsidR="00B528A3" w:rsidRPr="00F54093" w:rsidRDefault="00B528A3" w:rsidP="00116DCE">
      <w:pPr>
        <w:numPr>
          <w:ilvl w:val="0"/>
          <w:numId w:val="20"/>
        </w:numPr>
        <w:spacing w:after="140" w:line="280" w:lineRule="atLeast"/>
        <w:rPr>
          <w:rFonts w:ascii="Calibri" w:hAnsi="Calibri" w:cs="Calibri"/>
          <w:sz w:val="24"/>
        </w:rPr>
      </w:pPr>
      <w:r w:rsidRPr="00F54093">
        <w:rPr>
          <w:rFonts w:ascii="Calibri" w:hAnsi="Calibri" w:cs="Calibri"/>
          <w:sz w:val="24"/>
        </w:rPr>
        <w:t xml:space="preserve">consistency across </w:t>
      </w:r>
      <w:r w:rsidR="00FD52AD">
        <w:rPr>
          <w:rFonts w:ascii="Calibri" w:hAnsi="Calibri" w:cs="Calibri"/>
          <w:sz w:val="24"/>
        </w:rPr>
        <w:t xml:space="preserve">the </w:t>
      </w:r>
      <w:r w:rsidRPr="00F54093">
        <w:rPr>
          <w:rFonts w:ascii="Calibri" w:hAnsi="Calibri" w:cs="Calibri"/>
          <w:sz w:val="24"/>
        </w:rPr>
        <w:t>investigation</w:t>
      </w:r>
    </w:p>
    <w:p w14:paraId="460ECB55" w14:textId="77777777" w:rsidR="00B528A3" w:rsidRPr="00F54093" w:rsidRDefault="00B528A3" w:rsidP="00116DCE">
      <w:pPr>
        <w:numPr>
          <w:ilvl w:val="0"/>
          <w:numId w:val="20"/>
        </w:numPr>
        <w:spacing w:after="140" w:line="280" w:lineRule="atLeast"/>
        <w:rPr>
          <w:rFonts w:ascii="Calibri" w:hAnsi="Calibri" w:cs="Calibri"/>
          <w:sz w:val="24"/>
        </w:rPr>
      </w:pPr>
      <w:r w:rsidRPr="00F54093">
        <w:rPr>
          <w:rFonts w:ascii="Calibri" w:hAnsi="Calibri" w:cs="Calibri"/>
          <w:sz w:val="24"/>
        </w:rPr>
        <w:t>specificity of the association</w:t>
      </w:r>
    </w:p>
    <w:p w14:paraId="460ECB56" w14:textId="77777777" w:rsidR="00B528A3" w:rsidRPr="00F54093" w:rsidRDefault="00B528A3" w:rsidP="00116DCE">
      <w:pPr>
        <w:numPr>
          <w:ilvl w:val="0"/>
          <w:numId w:val="20"/>
        </w:numPr>
        <w:spacing w:after="140" w:line="280" w:lineRule="atLeast"/>
        <w:rPr>
          <w:rFonts w:ascii="Calibri" w:hAnsi="Calibri" w:cs="Calibri"/>
          <w:sz w:val="24"/>
        </w:rPr>
      </w:pPr>
      <w:r w:rsidRPr="00F54093">
        <w:rPr>
          <w:rFonts w:ascii="Calibri" w:hAnsi="Calibri" w:cs="Calibri"/>
          <w:sz w:val="24"/>
        </w:rPr>
        <w:t>temporal relationship of the association</w:t>
      </w:r>
    </w:p>
    <w:p w14:paraId="460ECB57" w14:textId="77777777" w:rsidR="00B528A3" w:rsidRPr="00F54093" w:rsidRDefault="00B528A3" w:rsidP="00116DCE">
      <w:pPr>
        <w:numPr>
          <w:ilvl w:val="0"/>
          <w:numId w:val="20"/>
        </w:numPr>
        <w:spacing w:after="140" w:line="280" w:lineRule="atLeast"/>
        <w:rPr>
          <w:rFonts w:ascii="Calibri" w:hAnsi="Calibri" w:cs="Calibri"/>
          <w:sz w:val="24"/>
        </w:rPr>
      </w:pPr>
      <w:r w:rsidRPr="00F54093">
        <w:rPr>
          <w:rFonts w:ascii="Calibri" w:hAnsi="Calibri" w:cs="Calibri"/>
          <w:sz w:val="24"/>
        </w:rPr>
        <w:t>biological gradient</w:t>
      </w:r>
    </w:p>
    <w:p w14:paraId="460ECB58" w14:textId="77777777" w:rsidR="00B528A3" w:rsidRPr="00F54093" w:rsidRDefault="00B528A3" w:rsidP="00116DCE">
      <w:pPr>
        <w:numPr>
          <w:ilvl w:val="0"/>
          <w:numId w:val="20"/>
        </w:numPr>
        <w:spacing w:after="140" w:line="280" w:lineRule="atLeast"/>
        <w:rPr>
          <w:rFonts w:ascii="Calibri" w:hAnsi="Calibri" w:cs="Calibri"/>
          <w:sz w:val="24"/>
        </w:rPr>
      </w:pPr>
      <w:r w:rsidRPr="00F54093">
        <w:rPr>
          <w:rFonts w:ascii="Calibri" w:hAnsi="Calibri" w:cs="Calibri"/>
          <w:sz w:val="24"/>
        </w:rPr>
        <w:t>biological plausibility</w:t>
      </w:r>
    </w:p>
    <w:p w14:paraId="460ECB59" w14:textId="77777777" w:rsidR="00B528A3" w:rsidRPr="00F54093" w:rsidRDefault="00B528A3" w:rsidP="00116DCE">
      <w:pPr>
        <w:numPr>
          <w:ilvl w:val="0"/>
          <w:numId w:val="20"/>
        </w:numPr>
        <w:spacing w:after="140" w:line="280" w:lineRule="atLeast"/>
        <w:rPr>
          <w:rFonts w:ascii="Calibri" w:hAnsi="Calibri" w:cs="Calibri"/>
          <w:sz w:val="24"/>
        </w:rPr>
      </w:pPr>
      <w:r w:rsidRPr="00F54093">
        <w:rPr>
          <w:rFonts w:ascii="Calibri" w:hAnsi="Calibri" w:cs="Calibri"/>
          <w:sz w:val="24"/>
        </w:rPr>
        <w:t>coherence</w:t>
      </w:r>
    </w:p>
    <w:p w14:paraId="460ECB5A" w14:textId="77777777" w:rsidR="00B528A3" w:rsidRPr="00F54093" w:rsidRDefault="00B528A3" w:rsidP="00116DCE">
      <w:pPr>
        <w:numPr>
          <w:ilvl w:val="0"/>
          <w:numId w:val="20"/>
        </w:numPr>
        <w:spacing w:after="140" w:line="280" w:lineRule="atLeast"/>
        <w:rPr>
          <w:rFonts w:ascii="Calibri" w:hAnsi="Calibri" w:cs="Calibri"/>
          <w:sz w:val="24"/>
        </w:rPr>
      </w:pPr>
      <w:r w:rsidRPr="00F54093">
        <w:rPr>
          <w:rFonts w:ascii="Calibri" w:hAnsi="Calibri" w:cs="Calibri"/>
          <w:sz w:val="24"/>
        </w:rPr>
        <w:t>experiment</w:t>
      </w:r>
    </w:p>
    <w:p w14:paraId="460ECB5B" w14:textId="77777777" w:rsidR="00B528A3" w:rsidRPr="00F54093" w:rsidRDefault="00B528A3" w:rsidP="00116DCE">
      <w:pPr>
        <w:numPr>
          <w:ilvl w:val="0"/>
          <w:numId w:val="20"/>
        </w:numPr>
        <w:spacing w:after="140" w:line="280" w:lineRule="atLeast"/>
        <w:rPr>
          <w:rFonts w:ascii="Calibri" w:hAnsi="Calibri" w:cs="Calibri"/>
          <w:sz w:val="24"/>
        </w:rPr>
      </w:pPr>
      <w:r w:rsidRPr="00F54093">
        <w:rPr>
          <w:rFonts w:ascii="Calibri" w:hAnsi="Calibri" w:cs="Calibri"/>
          <w:sz w:val="24"/>
        </w:rPr>
        <w:t>analogy</w:t>
      </w:r>
    </w:p>
    <w:p w14:paraId="460ECB5C" w14:textId="615127C4" w:rsidR="00B528A3" w:rsidRPr="00F54093" w:rsidRDefault="00B528A3" w:rsidP="00116DCE">
      <w:pPr>
        <w:numPr>
          <w:ilvl w:val="0"/>
          <w:numId w:val="21"/>
        </w:numPr>
        <w:spacing w:before="140" w:after="140" w:line="280" w:lineRule="atLeast"/>
        <w:rPr>
          <w:rFonts w:ascii="Calibri" w:hAnsi="Calibri" w:cs="Calibri"/>
          <w:snapToGrid w:val="0"/>
          <w:sz w:val="24"/>
          <w:lang w:eastAsia="en-US"/>
        </w:rPr>
      </w:pPr>
      <w:r w:rsidRPr="00F54093">
        <w:rPr>
          <w:rFonts w:ascii="Calibri" w:hAnsi="Calibri" w:cs="Calibri"/>
          <w:snapToGrid w:val="0"/>
          <w:sz w:val="24"/>
          <w:lang w:eastAsia="en-US"/>
        </w:rPr>
        <w:t xml:space="preserve">The Council notes that these criteria are not necessary </w:t>
      </w:r>
      <w:r w:rsidR="003E185B">
        <w:rPr>
          <w:rFonts w:ascii="Calibri" w:hAnsi="Calibri" w:cs="Calibri"/>
          <w:snapToGrid w:val="0"/>
          <w:sz w:val="24"/>
          <w:lang w:eastAsia="en-US"/>
        </w:rPr>
        <w:t xml:space="preserve">to </w:t>
      </w:r>
      <w:r w:rsidR="00E55D40">
        <w:rPr>
          <w:rFonts w:ascii="Calibri" w:hAnsi="Calibri" w:cs="Calibri"/>
          <w:snapToGrid w:val="0"/>
          <w:sz w:val="24"/>
          <w:lang w:eastAsia="en-US"/>
        </w:rPr>
        <w:t>establish</w:t>
      </w:r>
      <w:r w:rsidR="003E185B">
        <w:rPr>
          <w:rFonts w:ascii="Calibri" w:hAnsi="Calibri" w:cs="Calibri"/>
          <w:snapToGrid w:val="0"/>
          <w:sz w:val="24"/>
          <w:lang w:eastAsia="en-US"/>
        </w:rPr>
        <w:t xml:space="preserve"> a causal association</w:t>
      </w:r>
      <w:r w:rsidR="007A3055">
        <w:rPr>
          <w:rFonts w:ascii="Calibri" w:hAnsi="Calibri" w:cs="Calibri"/>
          <w:snapToGrid w:val="0"/>
          <w:sz w:val="24"/>
          <w:lang w:eastAsia="en-US"/>
        </w:rPr>
        <w:t xml:space="preserve">. </w:t>
      </w:r>
      <w:r w:rsidRPr="00F54093">
        <w:rPr>
          <w:rFonts w:ascii="Calibri" w:hAnsi="Calibri" w:cs="Calibri"/>
          <w:snapToGrid w:val="0"/>
          <w:sz w:val="24"/>
          <w:lang w:eastAsia="en-US"/>
        </w:rPr>
        <w:t xml:space="preserve">They </w:t>
      </w:r>
      <w:r w:rsidR="00E55D40">
        <w:rPr>
          <w:rFonts w:ascii="Calibri" w:hAnsi="Calibri" w:cs="Calibri"/>
          <w:snapToGrid w:val="0"/>
          <w:sz w:val="24"/>
          <w:lang w:eastAsia="en-US"/>
        </w:rPr>
        <w:t xml:space="preserve">may provide some evidence of association. </w:t>
      </w:r>
    </w:p>
    <w:p w14:paraId="0D6D9366" w14:textId="77777777" w:rsidR="00E55D40" w:rsidRDefault="00E55D40" w:rsidP="00FE374D">
      <w:pPr>
        <w:pStyle w:val="Heading1"/>
      </w:pPr>
      <w:bookmarkStart w:id="26" w:name="_Toc399854318"/>
      <w:bookmarkStart w:id="27" w:name="_Toc412714407"/>
      <w:bookmarkStart w:id="28" w:name="_Toc415481402"/>
      <w:bookmarkStart w:id="29" w:name="_Toc415563749"/>
      <w:bookmarkStart w:id="30" w:name="_Ref379802404"/>
    </w:p>
    <w:p w14:paraId="460ECB60" w14:textId="5138DC70" w:rsidR="00B528A3" w:rsidRPr="00F54093" w:rsidRDefault="00B528A3" w:rsidP="00FE374D">
      <w:pPr>
        <w:pStyle w:val="Heading1"/>
      </w:pPr>
      <w:bookmarkStart w:id="31" w:name="_Toc193702353"/>
      <w:r w:rsidRPr="00F54093">
        <w:t xml:space="preserve">COUNCIL’S CONCLUSIONS </w:t>
      </w:r>
      <w:bookmarkEnd w:id="26"/>
      <w:r w:rsidRPr="00F54093">
        <w:t xml:space="preserve">ON THE RELEVANT </w:t>
      </w:r>
      <w:r w:rsidR="00FA179F">
        <w:t>SOUND MEDICAL-SCIENTIFIC EVIDENCE</w:t>
      </w:r>
      <w:bookmarkEnd w:id="31"/>
      <w:r w:rsidR="00FA179F">
        <w:t xml:space="preserve"> </w:t>
      </w:r>
      <w:bookmarkEnd w:id="27"/>
      <w:bookmarkEnd w:id="28"/>
      <w:bookmarkEnd w:id="29"/>
    </w:p>
    <w:p w14:paraId="460ECB61" w14:textId="77777777" w:rsidR="00B528A3" w:rsidRPr="00F54093" w:rsidRDefault="00B528A3" w:rsidP="00B528A3">
      <w:pPr>
        <w:rPr>
          <w:rFonts w:ascii="Calibri" w:hAnsi="Calibri" w:cs="Calibri"/>
          <w:snapToGrid w:val="0"/>
          <w:sz w:val="24"/>
          <w:lang w:eastAsia="en-US"/>
        </w:rPr>
      </w:pPr>
    </w:p>
    <w:p w14:paraId="52380874" w14:textId="03E808EF" w:rsidR="00F116AF" w:rsidRDefault="00F116AF" w:rsidP="00116DCE">
      <w:pPr>
        <w:numPr>
          <w:ilvl w:val="0"/>
          <w:numId w:val="21"/>
        </w:numPr>
        <w:rPr>
          <w:rFonts w:ascii="Calibri" w:hAnsi="Calibri" w:cs="Calibri"/>
          <w:snapToGrid w:val="0"/>
          <w:sz w:val="24"/>
          <w:lang w:eastAsia="en-US"/>
        </w:rPr>
      </w:pPr>
      <w:r w:rsidRPr="00F116AF">
        <w:rPr>
          <w:rFonts w:ascii="Calibri" w:hAnsi="Calibri" w:cs="Calibri"/>
          <w:snapToGrid w:val="0"/>
          <w:sz w:val="24"/>
          <w:lang w:eastAsia="en-US"/>
        </w:rPr>
        <w:t>This section of the Reasons outlines the Council’s conclusions on the relevant</w:t>
      </w:r>
      <w:r w:rsidR="009A1F3C">
        <w:rPr>
          <w:rFonts w:ascii="Calibri" w:hAnsi="Calibri" w:cs="Calibri"/>
          <w:snapToGrid w:val="0"/>
          <w:sz w:val="24"/>
          <w:lang w:eastAsia="en-US"/>
        </w:rPr>
        <w:t>,</w:t>
      </w:r>
      <w:r w:rsidRPr="00F116AF">
        <w:rPr>
          <w:rFonts w:ascii="Calibri" w:hAnsi="Calibri" w:cs="Calibri"/>
          <w:snapToGrid w:val="0"/>
          <w:sz w:val="24"/>
          <w:lang w:eastAsia="en-US"/>
        </w:rPr>
        <w:t xml:space="preserve"> sound medical-scientific evidence that it considered to be within the scope of their review</w:t>
      </w:r>
      <w:r>
        <w:rPr>
          <w:rFonts w:ascii="Calibri" w:hAnsi="Calibri" w:cs="Calibri"/>
          <w:snapToGrid w:val="0"/>
          <w:sz w:val="24"/>
          <w:lang w:eastAsia="en-US"/>
        </w:rPr>
        <w:t xml:space="preserve">. </w:t>
      </w:r>
    </w:p>
    <w:p w14:paraId="4A0245C6" w14:textId="77777777" w:rsidR="00F116AF" w:rsidRPr="00F116AF" w:rsidRDefault="00F116AF" w:rsidP="00F116AF">
      <w:pPr>
        <w:rPr>
          <w:rFonts w:ascii="Calibri" w:hAnsi="Calibri" w:cs="Calibri"/>
          <w:snapToGrid w:val="0"/>
          <w:sz w:val="24"/>
          <w:lang w:eastAsia="en-US"/>
        </w:rPr>
      </w:pPr>
    </w:p>
    <w:p w14:paraId="460ECB62" w14:textId="0B73D21A" w:rsidR="00B528A3" w:rsidRPr="00F54093" w:rsidRDefault="00012F1A" w:rsidP="00116DCE">
      <w:pPr>
        <w:numPr>
          <w:ilvl w:val="0"/>
          <w:numId w:val="21"/>
        </w:numPr>
        <w:rPr>
          <w:rFonts w:ascii="Calibri" w:hAnsi="Calibri" w:cs="Calibri"/>
          <w:snapToGrid w:val="0"/>
          <w:sz w:val="24"/>
          <w:lang w:eastAsia="en-US"/>
        </w:rPr>
      </w:pPr>
      <w:r>
        <w:rPr>
          <w:rFonts w:ascii="Calibri" w:hAnsi="Calibri" w:cs="Calibri"/>
          <w:bCs/>
          <w:iCs/>
          <w:sz w:val="24"/>
        </w:rPr>
        <w:t>The Council must consider and evaluate all sound medical-scientific evidence in deciding the existence or otherwise of a reasonable hypothesis</w:t>
      </w:r>
      <w:r w:rsidR="00B528A3" w:rsidRPr="00F54093">
        <w:rPr>
          <w:rFonts w:ascii="Calibri" w:hAnsi="Calibri" w:cs="Calibri"/>
          <w:bCs/>
          <w:iCs/>
          <w:sz w:val="24"/>
        </w:rPr>
        <w:t>. In the situation where there is a single piece of evidence, such as a single study or paper, in support of a reasonable hypothesis</w:t>
      </w:r>
      <w:r w:rsidR="00FD52AD">
        <w:rPr>
          <w:rFonts w:ascii="Calibri" w:hAnsi="Calibri" w:cs="Calibri"/>
          <w:bCs/>
          <w:iCs/>
          <w:sz w:val="24"/>
        </w:rPr>
        <w:t xml:space="preserve"> on its own,</w:t>
      </w:r>
      <w:r w:rsidR="00B528A3" w:rsidRPr="00F54093">
        <w:rPr>
          <w:rFonts w:ascii="Calibri" w:hAnsi="Calibri" w:cs="Calibri"/>
          <w:bCs/>
          <w:iCs/>
          <w:sz w:val="24"/>
        </w:rPr>
        <w:t xml:space="preserve"> that may be enough to support the hypothesis. However, this information should be considered with </w:t>
      </w:r>
      <w:r w:rsidR="00FA387A" w:rsidRPr="00F54093">
        <w:rPr>
          <w:rFonts w:ascii="Calibri" w:hAnsi="Calibri" w:cs="Calibri"/>
          <w:bCs/>
          <w:iCs/>
          <w:sz w:val="24"/>
        </w:rPr>
        <w:t xml:space="preserve">other </w:t>
      </w:r>
      <w:r w:rsidR="00535DEF" w:rsidRPr="00535DEF">
        <w:rPr>
          <w:rFonts w:ascii="Calibri" w:hAnsi="Calibri" w:cs="Calibri"/>
          <w:bCs/>
          <w:iCs/>
          <w:sz w:val="24"/>
        </w:rPr>
        <w:t>sound medical-scientific evidence</w:t>
      </w:r>
      <w:r w:rsidR="00535DEF">
        <w:rPr>
          <w:rFonts w:ascii="Calibri" w:hAnsi="Calibri" w:cs="Calibri"/>
          <w:bCs/>
          <w:iCs/>
          <w:sz w:val="24"/>
        </w:rPr>
        <w:t xml:space="preserve"> </w:t>
      </w:r>
      <w:r w:rsidR="002D4EF7">
        <w:rPr>
          <w:rFonts w:ascii="Calibri" w:hAnsi="Calibri" w:cs="Calibri"/>
          <w:bCs/>
          <w:iCs/>
          <w:sz w:val="24"/>
        </w:rPr>
        <w:t>to identify whether the sound medical-scientific evidence indicates a</w:t>
      </w:r>
      <w:r w:rsidR="00B528A3" w:rsidRPr="00F54093">
        <w:rPr>
          <w:rFonts w:ascii="Calibri" w:hAnsi="Calibri" w:cs="Calibri"/>
          <w:bCs/>
          <w:iCs/>
          <w:sz w:val="24"/>
        </w:rPr>
        <w:t xml:space="preserve"> relation to the medical condition</w:t>
      </w:r>
      <w:r w:rsidR="007A3055">
        <w:rPr>
          <w:rFonts w:ascii="Calibri" w:hAnsi="Calibri" w:cs="Calibri"/>
          <w:bCs/>
          <w:iCs/>
          <w:sz w:val="24"/>
        </w:rPr>
        <w:t xml:space="preserve">. </w:t>
      </w:r>
      <w:r w:rsidR="00B528A3" w:rsidRPr="00F54093">
        <w:rPr>
          <w:rFonts w:ascii="Calibri" w:hAnsi="Calibri" w:cs="Calibri"/>
          <w:bCs/>
          <w:iCs/>
          <w:sz w:val="24"/>
        </w:rPr>
        <w:t>It is</w:t>
      </w:r>
      <w:r w:rsidR="002D4EF7">
        <w:rPr>
          <w:rFonts w:ascii="Calibri" w:hAnsi="Calibri" w:cs="Calibri"/>
          <w:bCs/>
          <w:iCs/>
          <w:sz w:val="24"/>
        </w:rPr>
        <w:t>, therefore,</w:t>
      </w:r>
      <w:r w:rsidR="00B528A3" w:rsidRPr="00F54093">
        <w:rPr>
          <w:rFonts w:ascii="Calibri" w:hAnsi="Calibri" w:cs="Calibri"/>
          <w:bCs/>
          <w:iCs/>
          <w:sz w:val="24"/>
        </w:rPr>
        <w:t xml:space="preserve"> important that the Council considers all information in context.</w:t>
      </w:r>
      <w:bookmarkStart w:id="32" w:name="_Toc373244658"/>
      <w:bookmarkEnd w:id="30"/>
    </w:p>
    <w:p w14:paraId="460ECB63" w14:textId="77777777" w:rsidR="00B528A3" w:rsidRPr="00F54093" w:rsidRDefault="00B528A3" w:rsidP="00B528A3">
      <w:pPr>
        <w:ind w:left="720"/>
        <w:rPr>
          <w:rFonts w:ascii="Calibri" w:hAnsi="Calibri" w:cs="Calibri"/>
          <w:snapToGrid w:val="0"/>
          <w:sz w:val="24"/>
          <w:lang w:eastAsia="en-US"/>
        </w:rPr>
      </w:pPr>
    </w:p>
    <w:p w14:paraId="791AEBEF" w14:textId="0D9E1B5A" w:rsidR="007C1DBA" w:rsidRPr="007C1DBA" w:rsidRDefault="00B528A3" w:rsidP="007C1DBA">
      <w:pPr>
        <w:numPr>
          <w:ilvl w:val="0"/>
          <w:numId w:val="21"/>
        </w:numPr>
        <w:rPr>
          <w:rFonts w:ascii="Calibri" w:hAnsi="Calibri" w:cs="Calibri"/>
          <w:snapToGrid w:val="0"/>
          <w:sz w:val="24"/>
          <w:lang w:eastAsia="en-US"/>
        </w:rPr>
      </w:pPr>
      <w:r w:rsidRPr="00F54093">
        <w:rPr>
          <w:rFonts w:ascii="Calibri" w:eastAsia="Calibri" w:hAnsi="Calibri" w:cs="Calibri"/>
          <w:sz w:val="24"/>
          <w:szCs w:val="22"/>
        </w:rPr>
        <w:t xml:space="preserve">From the information available to the RMA at the relevant time, the Council considered all studies </w:t>
      </w:r>
      <w:r w:rsidR="00DE55FA">
        <w:rPr>
          <w:rFonts w:ascii="Calibri" w:eastAsia="Calibri" w:hAnsi="Calibri" w:cs="Calibri"/>
          <w:sz w:val="24"/>
          <w:szCs w:val="22"/>
        </w:rPr>
        <w:t>pertinent</w:t>
      </w:r>
      <w:r w:rsidR="00A323A4" w:rsidRPr="00F54093">
        <w:rPr>
          <w:rFonts w:ascii="Calibri" w:eastAsia="Calibri" w:hAnsi="Calibri" w:cs="Calibri"/>
          <w:sz w:val="24"/>
          <w:szCs w:val="22"/>
        </w:rPr>
        <w:t xml:space="preserve"> </w:t>
      </w:r>
      <w:r w:rsidRPr="00F54093">
        <w:rPr>
          <w:rFonts w:ascii="Calibri" w:eastAsia="Calibri" w:hAnsi="Calibri" w:cs="Calibri"/>
          <w:sz w:val="24"/>
          <w:szCs w:val="22"/>
        </w:rPr>
        <w:t xml:space="preserve">to the scope of this review. In considering the </w:t>
      </w:r>
      <w:r w:rsidRPr="00F54093">
        <w:rPr>
          <w:rFonts w:ascii="Calibri" w:eastAsia="Calibri" w:hAnsi="Calibri" w:cs="Calibri"/>
          <w:sz w:val="24"/>
          <w:szCs w:val="22"/>
        </w:rPr>
        <w:lastRenderedPageBreak/>
        <w:t xml:space="preserve">matters within the scope of the review, the Council closely analysed these studies, both individually and collectively, </w:t>
      </w:r>
      <w:r w:rsidR="004D73A4">
        <w:rPr>
          <w:rFonts w:ascii="Calibri" w:eastAsia="Calibri" w:hAnsi="Calibri" w:cs="Calibri"/>
          <w:sz w:val="24"/>
          <w:szCs w:val="22"/>
        </w:rPr>
        <w:t>considering</w:t>
      </w:r>
      <w:r w:rsidRPr="00F54093">
        <w:rPr>
          <w:rFonts w:ascii="Calibri" w:eastAsia="Calibri" w:hAnsi="Calibri" w:cs="Calibri"/>
          <w:sz w:val="24"/>
          <w:szCs w:val="22"/>
        </w:rPr>
        <w:t xml:space="preserve"> both quantitative and qualitative evidence in its evaluations.</w:t>
      </w:r>
      <w:bookmarkStart w:id="33" w:name="_Ref408662787"/>
    </w:p>
    <w:p w14:paraId="6058F0B9" w14:textId="77777777" w:rsidR="007C1DBA" w:rsidRDefault="007C1DBA" w:rsidP="007C1DBA">
      <w:pPr>
        <w:pStyle w:val="ListParagraph"/>
        <w:rPr>
          <w:rFonts w:ascii="Calibri" w:hAnsi="Calibri" w:cs="Calibri"/>
          <w:snapToGrid w:val="0"/>
          <w:sz w:val="24"/>
          <w:lang w:eastAsia="en-US"/>
        </w:rPr>
      </w:pPr>
    </w:p>
    <w:p w14:paraId="2FDE0E6B" w14:textId="56882471" w:rsidR="000768FD" w:rsidRDefault="00E41402" w:rsidP="000768FD">
      <w:pPr>
        <w:numPr>
          <w:ilvl w:val="0"/>
          <w:numId w:val="21"/>
        </w:numPr>
        <w:rPr>
          <w:rFonts w:ascii="Calibri" w:eastAsia="Calibri" w:hAnsi="Calibri" w:cs="Calibri"/>
          <w:sz w:val="24"/>
          <w:szCs w:val="22"/>
        </w:rPr>
      </w:pPr>
      <w:r w:rsidRPr="0072631C">
        <w:rPr>
          <w:rFonts w:ascii="Calibri" w:eastAsia="Calibri" w:hAnsi="Calibri" w:cs="Calibri"/>
          <w:sz w:val="24"/>
          <w:szCs w:val="22"/>
        </w:rPr>
        <w:t xml:space="preserve">The Council considered that particular attention in their review should be paid to the material identified by the Applicant (Jung et al. </w:t>
      </w:r>
      <w:r w:rsidR="008D0E8F" w:rsidRPr="0072631C">
        <w:rPr>
          <w:rFonts w:ascii="Calibri" w:eastAsia="Calibri" w:hAnsi="Calibri" w:cs="Calibri"/>
          <w:sz w:val="24"/>
          <w:szCs w:val="22"/>
        </w:rPr>
        <w:t>(</w:t>
      </w:r>
      <w:r w:rsidRPr="0072631C">
        <w:rPr>
          <w:rFonts w:ascii="Calibri" w:eastAsia="Calibri" w:hAnsi="Calibri" w:cs="Calibri"/>
          <w:sz w:val="24"/>
          <w:szCs w:val="22"/>
        </w:rPr>
        <w:t>2019</w:t>
      </w:r>
      <w:r w:rsidR="008D0E8F" w:rsidRPr="0072631C">
        <w:rPr>
          <w:rFonts w:ascii="Calibri" w:eastAsia="Calibri" w:hAnsi="Calibri" w:cs="Calibri"/>
          <w:sz w:val="24"/>
          <w:szCs w:val="22"/>
        </w:rPr>
        <w:t>)</w:t>
      </w:r>
      <w:r w:rsidRPr="0072631C">
        <w:rPr>
          <w:rFonts w:ascii="Calibri" w:eastAsia="Calibri" w:hAnsi="Calibri" w:cs="Calibri"/>
          <w:sz w:val="24"/>
          <w:szCs w:val="22"/>
        </w:rPr>
        <w:t xml:space="preserve"> [RMA ID 102800]</w:t>
      </w:r>
      <w:r w:rsidR="00C3757E">
        <w:rPr>
          <w:rFonts w:ascii="Calibri" w:eastAsia="Calibri" w:hAnsi="Calibri" w:cs="Calibri"/>
          <w:sz w:val="24"/>
          <w:szCs w:val="22"/>
        </w:rPr>
        <w:t>;</w:t>
      </w:r>
      <w:r w:rsidRPr="0072631C">
        <w:rPr>
          <w:rFonts w:ascii="Calibri" w:eastAsia="Calibri" w:hAnsi="Calibri" w:cs="Calibri"/>
          <w:sz w:val="24"/>
          <w:szCs w:val="22"/>
        </w:rPr>
        <w:t xml:space="preserve"> O’Donovan et al. </w:t>
      </w:r>
      <w:r w:rsidR="008D0E8F" w:rsidRPr="0072631C">
        <w:rPr>
          <w:rFonts w:ascii="Calibri" w:eastAsia="Calibri" w:hAnsi="Calibri" w:cs="Calibri"/>
          <w:sz w:val="24"/>
          <w:szCs w:val="22"/>
        </w:rPr>
        <w:t>(</w:t>
      </w:r>
      <w:r w:rsidRPr="0072631C">
        <w:rPr>
          <w:rFonts w:ascii="Calibri" w:eastAsia="Calibri" w:hAnsi="Calibri" w:cs="Calibri"/>
          <w:sz w:val="24"/>
          <w:szCs w:val="22"/>
        </w:rPr>
        <w:t>2015</w:t>
      </w:r>
      <w:r w:rsidR="008D0E8F" w:rsidRPr="0072631C">
        <w:rPr>
          <w:rFonts w:ascii="Calibri" w:eastAsia="Calibri" w:hAnsi="Calibri" w:cs="Calibri"/>
          <w:sz w:val="24"/>
          <w:szCs w:val="22"/>
        </w:rPr>
        <w:t>)</w:t>
      </w:r>
      <w:r w:rsidRPr="0072631C">
        <w:rPr>
          <w:rFonts w:ascii="Calibri" w:eastAsia="Calibri" w:hAnsi="Calibri" w:cs="Calibri"/>
          <w:sz w:val="24"/>
          <w:szCs w:val="22"/>
        </w:rPr>
        <w:t xml:space="preserve"> [RMA ID 102934])</w:t>
      </w:r>
      <w:r w:rsidR="000F65F2" w:rsidRPr="0072631C">
        <w:rPr>
          <w:rFonts w:ascii="Calibri" w:eastAsia="Calibri" w:hAnsi="Calibri" w:cs="Calibri"/>
          <w:sz w:val="24"/>
          <w:szCs w:val="22"/>
        </w:rPr>
        <w:t>. The Council was of the view that</w:t>
      </w:r>
      <w:r w:rsidRPr="0072631C">
        <w:rPr>
          <w:rFonts w:ascii="Calibri" w:eastAsia="Calibri" w:hAnsi="Calibri" w:cs="Calibri"/>
          <w:sz w:val="24"/>
          <w:szCs w:val="22"/>
        </w:rPr>
        <w:t xml:space="preserve"> </w:t>
      </w:r>
      <w:r w:rsidR="000F65F2" w:rsidRPr="0072631C">
        <w:rPr>
          <w:rFonts w:ascii="Calibri" w:eastAsia="Calibri" w:hAnsi="Calibri" w:cs="Calibri"/>
          <w:sz w:val="24"/>
          <w:szCs w:val="22"/>
        </w:rPr>
        <w:t>of</w:t>
      </w:r>
      <w:r w:rsidRPr="0072631C">
        <w:rPr>
          <w:rFonts w:ascii="Calibri" w:eastAsia="Calibri" w:hAnsi="Calibri" w:cs="Calibri"/>
          <w:sz w:val="24"/>
          <w:szCs w:val="22"/>
        </w:rPr>
        <w:t xml:space="preserve"> all the available information, it was the most directly relevant to the scope of the review to determine factors linking posttraumatic stress disorder with Hashimoto thyroiditis</w:t>
      </w:r>
      <w:r w:rsidR="00B339A6">
        <w:rPr>
          <w:rFonts w:ascii="Calibri" w:eastAsia="Calibri" w:hAnsi="Calibri" w:cs="Calibri"/>
          <w:sz w:val="24"/>
          <w:szCs w:val="22"/>
        </w:rPr>
        <w:t>,</w:t>
      </w:r>
      <w:r w:rsidR="00DF454E" w:rsidRPr="0072631C">
        <w:rPr>
          <w:rFonts w:ascii="Calibri" w:eastAsia="Calibri" w:hAnsi="Calibri" w:cs="Calibri"/>
          <w:sz w:val="24"/>
          <w:szCs w:val="22"/>
        </w:rPr>
        <w:t xml:space="preserve"> as no studies were identified that specifically examined the relationship between </w:t>
      </w:r>
      <w:r w:rsidR="0076061C" w:rsidRPr="0072631C">
        <w:rPr>
          <w:rFonts w:ascii="Calibri" w:eastAsia="Calibri" w:hAnsi="Calibri" w:cs="Calibri"/>
          <w:sz w:val="24"/>
          <w:szCs w:val="22"/>
        </w:rPr>
        <w:t xml:space="preserve">posttraumatic stress disorder and </w:t>
      </w:r>
      <w:r w:rsidR="00DF454E" w:rsidRPr="0072631C">
        <w:rPr>
          <w:rFonts w:ascii="Calibri" w:eastAsia="Calibri" w:hAnsi="Calibri" w:cs="Calibri"/>
          <w:sz w:val="24"/>
          <w:szCs w:val="22"/>
        </w:rPr>
        <w:t xml:space="preserve">Hashimoto thyroiditis. </w:t>
      </w:r>
      <w:r w:rsidR="00817AAC" w:rsidRPr="0072631C">
        <w:rPr>
          <w:rFonts w:ascii="Calibri" w:eastAsia="Calibri" w:hAnsi="Calibri" w:cs="Calibri"/>
          <w:sz w:val="24"/>
          <w:szCs w:val="22"/>
        </w:rPr>
        <w:t>These</w:t>
      </w:r>
      <w:r w:rsidR="00A93927" w:rsidRPr="0072631C">
        <w:rPr>
          <w:rFonts w:ascii="Calibri" w:eastAsia="Calibri" w:hAnsi="Calibri" w:cs="Calibri"/>
          <w:sz w:val="24"/>
          <w:szCs w:val="22"/>
        </w:rPr>
        <w:t xml:space="preserve"> </w:t>
      </w:r>
      <w:r w:rsidR="00DF454E" w:rsidRPr="0072631C">
        <w:rPr>
          <w:rFonts w:ascii="Calibri" w:eastAsia="Calibri" w:hAnsi="Calibri" w:cs="Calibri"/>
          <w:sz w:val="24"/>
          <w:szCs w:val="22"/>
        </w:rPr>
        <w:t xml:space="preserve">two studies </w:t>
      </w:r>
      <w:r w:rsidR="000F453F">
        <w:rPr>
          <w:rFonts w:ascii="Calibri" w:eastAsia="Calibri" w:hAnsi="Calibri" w:cs="Calibri"/>
          <w:sz w:val="24"/>
          <w:szCs w:val="22"/>
        </w:rPr>
        <w:t xml:space="preserve">used a cohort design to </w:t>
      </w:r>
      <w:r w:rsidR="00DF454E" w:rsidRPr="0072631C">
        <w:rPr>
          <w:rFonts w:ascii="Calibri" w:eastAsia="Calibri" w:hAnsi="Calibri" w:cs="Calibri"/>
          <w:sz w:val="24"/>
          <w:szCs w:val="22"/>
        </w:rPr>
        <w:t>investigate associations between conditions</w:t>
      </w:r>
      <w:r w:rsidR="00B4035D">
        <w:rPr>
          <w:rFonts w:ascii="Calibri" w:eastAsia="Calibri" w:hAnsi="Calibri" w:cs="Calibri"/>
          <w:sz w:val="24"/>
          <w:szCs w:val="22"/>
        </w:rPr>
        <w:t xml:space="preserve"> closely related</w:t>
      </w:r>
      <w:r w:rsidR="00DF454E" w:rsidRPr="0072631C">
        <w:rPr>
          <w:rFonts w:ascii="Calibri" w:eastAsia="Calibri" w:hAnsi="Calibri" w:cs="Calibri"/>
          <w:sz w:val="24"/>
          <w:szCs w:val="22"/>
        </w:rPr>
        <w:t xml:space="preserve"> to Hashimoto thyroiditis (i.e., hypothyroidism and thyroiditis)</w:t>
      </w:r>
      <w:r w:rsidR="0004226A">
        <w:rPr>
          <w:rFonts w:ascii="Calibri" w:eastAsia="Calibri" w:hAnsi="Calibri" w:cs="Calibri"/>
          <w:sz w:val="24"/>
          <w:szCs w:val="22"/>
        </w:rPr>
        <w:t>,</w:t>
      </w:r>
      <w:r w:rsidR="00D84B71">
        <w:rPr>
          <w:rFonts w:ascii="Calibri" w:eastAsia="Calibri" w:hAnsi="Calibri" w:cs="Calibri"/>
          <w:sz w:val="24"/>
          <w:szCs w:val="22"/>
        </w:rPr>
        <w:t xml:space="preserve"> </w:t>
      </w:r>
      <w:r w:rsidR="00AA1D91">
        <w:rPr>
          <w:rFonts w:ascii="Calibri" w:eastAsia="Calibri" w:hAnsi="Calibri" w:cs="Calibri"/>
          <w:sz w:val="24"/>
          <w:szCs w:val="22"/>
        </w:rPr>
        <w:t xml:space="preserve">providing </w:t>
      </w:r>
      <w:r w:rsidR="00B96AE3">
        <w:rPr>
          <w:rFonts w:ascii="Calibri" w:eastAsia="Calibri" w:hAnsi="Calibri" w:cs="Calibri"/>
          <w:sz w:val="24"/>
          <w:szCs w:val="22"/>
        </w:rPr>
        <w:t xml:space="preserve">stronger evidence for </w:t>
      </w:r>
      <w:r w:rsidR="00D84B71">
        <w:rPr>
          <w:rFonts w:ascii="Calibri" w:eastAsia="Calibri" w:hAnsi="Calibri" w:cs="Calibri"/>
          <w:sz w:val="24"/>
          <w:szCs w:val="22"/>
        </w:rPr>
        <w:t>understanding causal relationships</w:t>
      </w:r>
      <w:r w:rsidR="00FA0EDD" w:rsidRPr="0072631C">
        <w:rPr>
          <w:rFonts w:ascii="Calibri" w:eastAsia="Calibri" w:hAnsi="Calibri" w:cs="Calibri"/>
          <w:sz w:val="24"/>
          <w:szCs w:val="22"/>
        </w:rPr>
        <w:t xml:space="preserve">. </w:t>
      </w:r>
    </w:p>
    <w:p w14:paraId="7E619FC5" w14:textId="77777777" w:rsidR="00177DC2" w:rsidRPr="0072631C" w:rsidRDefault="00177DC2" w:rsidP="00D6551E">
      <w:pPr>
        <w:ind w:left="720"/>
        <w:rPr>
          <w:rFonts w:ascii="Calibri" w:eastAsia="Calibri" w:hAnsi="Calibri" w:cs="Calibri"/>
          <w:sz w:val="24"/>
          <w:szCs w:val="22"/>
        </w:rPr>
      </w:pPr>
    </w:p>
    <w:p w14:paraId="215701DB" w14:textId="13B6C4B6" w:rsidR="00BC32F1" w:rsidRDefault="00680669" w:rsidP="00741ED0">
      <w:pPr>
        <w:numPr>
          <w:ilvl w:val="0"/>
          <w:numId w:val="21"/>
        </w:numPr>
        <w:rPr>
          <w:rFonts w:ascii="Calibri" w:eastAsia="Calibri" w:hAnsi="Calibri" w:cs="Calibri"/>
          <w:sz w:val="24"/>
          <w:szCs w:val="22"/>
        </w:rPr>
      </w:pPr>
      <w:r>
        <w:rPr>
          <w:rFonts w:ascii="Calibri" w:eastAsia="Calibri" w:hAnsi="Calibri" w:cs="Calibri"/>
          <w:sz w:val="24"/>
          <w:szCs w:val="22"/>
        </w:rPr>
        <w:t>The</w:t>
      </w:r>
      <w:r w:rsidR="00205CAF" w:rsidRPr="001916BD">
        <w:rPr>
          <w:rFonts w:ascii="Calibri" w:eastAsia="Calibri" w:hAnsi="Calibri" w:cs="Calibri"/>
          <w:sz w:val="24"/>
          <w:szCs w:val="22"/>
        </w:rPr>
        <w:t xml:space="preserve"> retrospective cohort study </w:t>
      </w:r>
      <w:r>
        <w:rPr>
          <w:rFonts w:ascii="Calibri" w:eastAsia="Calibri" w:hAnsi="Calibri" w:cs="Calibri"/>
          <w:sz w:val="24"/>
          <w:szCs w:val="22"/>
        </w:rPr>
        <w:t>by</w:t>
      </w:r>
      <w:r w:rsidR="00205CAF" w:rsidRPr="001916BD">
        <w:rPr>
          <w:rFonts w:ascii="Calibri" w:eastAsia="Calibri" w:hAnsi="Calibri" w:cs="Calibri"/>
          <w:sz w:val="24"/>
          <w:szCs w:val="22"/>
        </w:rPr>
        <w:t xml:space="preserve"> Jung et al</w:t>
      </w:r>
      <w:r w:rsidR="008B15C5">
        <w:rPr>
          <w:rFonts w:ascii="Calibri" w:eastAsia="Calibri" w:hAnsi="Calibri" w:cs="Calibri"/>
          <w:sz w:val="24"/>
          <w:szCs w:val="22"/>
        </w:rPr>
        <w:t>.</w:t>
      </w:r>
      <w:r w:rsidR="00205CAF" w:rsidRPr="001916BD">
        <w:rPr>
          <w:rFonts w:ascii="Calibri" w:eastAsia="Calibri" w:hAnsi="Calibri" w:cs="Calibri"/>
          <w:sz w:val="24"/>
          <w:szCs w:val="22"/>
        </w:rPr>
        <w:t xml:space="preserve"> </w:t>
      </w:r>
      <w:r w:rsidR="007C5ADB" w:rsidRPr="001916BD">
        <w:rPr>
          <w:rFonts w:ascii="Calibri" w:eastAsia="Calibri" w:hAnsi="Calibri" w:cs="Calibri"/>
          <w:sz w:val="24"/>
          <w:szCs w:val="22"/>
        </w:rPr>
        <w:t>(</w:t>
      </w:r>
      <w:r w:rsidR="00205CAF" w:rsidRPr="001916BD">
        <w:rPr>
          <w:rFonts w:ascii="Calibri" w:eastAsia="Calibri" w:hAnsi="Calibri" w:cs="Calibri"/>
          <w:sz w:val="24"/>
          <w:szCs w:val="22"/>
        </w:rPr>
        <w:t>2019</w:t>
      </w:r>
      <w:r w:rsidR="007C5ADB" w:rsidRPr="001916BD">
        <w:rPr>
          <w:rFonts w:ascii="Calibri" w:eastAsia="Calibri" w:hAnsi="Calibri" w:cs="Calibri"/>
          <w:sz w:val="24"/>
          <w:szCs w:val="22"/>
        </w:rPr>
        <w:t>)</w:t>
      </w:r>
      <w:r w:rsidR="00205CAF" w:rsidRPr="001916BD">
        <w:rPr>
          <w:rFonts w:ascii="Calibri" w:eastAsia="Calibri" w:hAnsi="Calibri" w:cs="Calibri"/>
          <w:sz w:val="24"/>
          <w:szCs w:val="22"/>
        </w:rPr>
        <w:t xml:space="preserve"> [RMA ID 102800] investigated the relationship between trauma exposure, posttraumatic stress disorder symptoms, and thyroid dysfunction (hypothyroidism and Graves' hyperthyroidism) in a longitudinal cohort of 45,992 civilian women from the Nurses' Health Study II over 24 years. </w:t>
      </w:r>
      <w:r w:rsidR="00FE3334" w:rsidRPr="001916BD">
        <w:rPr>
          <w:rFonts w:ascii="Calibri" w:eastAsia="Calibri" w:hAnsi="Calibri" w:cs="Calibri"/>
          <w:sz w:val="24"/>
          <w:szCs w:val="22"/>
        </w:rPr>
        <w:t xml:space="preserve">Women who had reported thyroid dysfunction at baseline (n = 3268) were excluded from analyses. </w:t>
      </w:r>
      <w:r w:rsidR="00205CAF" w:rsidRPr="001916BD">
        <w:rPr>
          <w:rFonts w:ascii="Calibri" w:eastAsia="Calibri" w:hAnsi="Calibri" w:cs="Calibri"/>
          <w:sz w:val="24"/>
          <w:szCs w:val="22"/>
        </w:rPr>
        <w:t xml:space="preserve">The Nurses’ Health Study II is an ongoing prospective cohort study, started in 1989 with 116 429 female registered nurses aged 25–42. </w:t>
      </w:r>
    </w:p>
    <w:p w14:paraId="49D0DF63" w14:textId="77777777" w:rsidR="001916BD" w:rsidRPr="001916BD" w:rsidRDefault="001916BD" w:rsidP="00D6551E">
      <w:pPr>
        <w:ind w:left="720"/>
        <w:rPr>
          <w:rFonts w:ascii="Calibri" w:eastAsia="Calibri" w:hAnsi="Calibri" w:cs="Calibri"/>
          <w:sz w:val="24"/>
          <w:szCs w:val="22"/>
        </w:rPr>
      </w:pPr>
    </w:p>
    <w:p w14:paraId="62FAFC51" w14:textId="2A942B7D" w:rsidR="00205CAF" w:rsidRPr="00205CAF" w:rsidRDefault="00205CAF" w:rsidP="00205CAF">
      <w:pPr>
        <w:numPr>
          <w:ilvl w:val="0"/>
          <w:numId w:val="21"/>
        </w:numPr>
        <w:rPr>
          <w:rFonts w:ascii="Calibri" w:eastAsia="Calibri" w:hAnsi="Calibri" w:cs="Calibri"/>
          <w:sz w:val="24"/>
          <w:szCs w:val="22"/>
        </w:rPr>
      </w:pPr>
      <w:r w:rsidRPr="00205CAF">
        <w:rPr>
          <w:rFonts w:ascii="Calibri" w:eastAsia="Calibri" w:hAnsi="Calibri" w:cs="Calibri"/>
          <w:sz w:val="24"/>
          <w:szCs w:val="22"/>
        </w:rPr>
        <w:t xml:space="preserve">Over 24 years of follow-up, </w:t>
      </w:r>
      <w:r w:rsidR="009733F9" w:rsidRPr="009733F9">
        <w:rPr>
          <w:rFonts w:ascii="Calibri" w:eastAsia="Calibri" w:hAnsi="Calibri" w:cs="Calibri"/>
          <w:sz w:val="24"/>
          <w:szCs w:val="22"/>
        </w:rPr>
        <w:t xml:space="preserve">Jung et al. </w:t>
      </w:r>
      <w:r w:rsidR="008D0E8F">
        <w:rPr>
          <w:rFonts w:ascii="Calibri" w:eastAsia="Calibri" w:hAnsi="Calibri" w:cs="Calibri"/>
          <w:sz w:val="24"/>
          <w:szCs w:val="22"/>
        </w:rPr>
        <w:t>(</w:t>
      </w:r>
      <w:r w:rsidR="009733F9" w:rsidRPr="009733F9">
        <w:rPr>
          <w:rFonts w:ascii="Calibri" w:eastAsia="Calibri" w:hAnsi="Calibri" w:cs="Calibri"/>
          <w:sz w:val="24"/>
          <w:szCs w:val="22"/>
        </w:rPr>
        <w:t>2019</w:t>
      </w:r>
      <w:r w:rsidR="008D0E8F">
        <w:rPr>
          <w:rFonts w:ascii="Calibri" w:eastAsia="Calibri" w:hAnsi="Calibri" w:cs="Calibri"/>
          <w:sz w:val="24"/>
          <w:szCs w:val="22"/>
        </w:rPr>
        <w:t>)</w:t>
      </w:r>
      <w:r w:rsidR="009733F9" w:rsidRPr="009733F9">
        <w:rPr>
          <w:rFonts w:ascii="Calibri" w:eastAsia="Calibri" w:hAnsi="Calibri" w:cs="Calibri"/>
          <w:sz w:val="24"/>
          <w:szCs w:val="22"/>
        </w:rPr>
        <w:t xml:space="preserve"> [RMA ID 102800]</w:t>
      </w:r>
      <w:r w:rsidR="009733F9">
        <w:rPr>
          <w:rFonts w:ascii="Calibri" w:eastAsia="Calibri" w:hAnsi="Calibri" w:cs="Calibri"/>
          <w:sz w:val="24"/>
          <w:szCs w:val="22"/>
        </w:rPr>
        <w:t xml:space="preserve"> identified that </w:t>
      </w:r>
      <w:r w:rsidRPr="00205CAF">
        <w:rPr>
          <w:rFonts w:ascii="Calibri" w:eastAsia="Calibri" w:hAnsi="Calibri" w:cs="Calibri"/>
          <w:sz w:val="24"/>
          <w:szCs w:val="22"/>
        </w:rPr>
        <w:t>7993 women developed hypothyroidism. In multivariable-adjusted model</w:t>
      </w:r>
      <w:r w:rsidR="006E1EBA">
        <w:rPr>
          <w:rFonts w:ascii="Calibri" w:eastAsia="Calibri" w:hAnsi="Calibri" w:cs="Calibri"/>
          <w:sz w:val="24"/>
          <w:szCs w:val="22"/>
        </w:rPr>
        <w:t>ling</w:t>
      </w:r>
      <w:r w:rsidR="005079E7">
        <w:rPr>
          <w:rFonts w:ascii="Calibri" w:eastAsia="Calibri" w:hAnsi="Calibri" w:cs="Calibri"/>
          <w:sz w:val="24"/>
          <w:szCs w:val="22"/>
        </w:rPr>
        <w:t xml:space="preserve"> accounting for </w:t>
      </w:r>
      <w:r w:rsidR="00424CF8">
        <w:rPr>
          <w:rFonts w:ascii="Calibri" w:eastAsia="Calibri" w:hAnsi="Calibri" w:cs="Calibri"/>
          <w:sz w:val="24"/>
          <w:szCs w:val="22"/>
        </w:rPr>
        <w:t xml:space="preserve">variables such as age, </w:t>
      </w:r>
      <w:r w:rsidR="00814EA3">
        <w:rPr>
          <w:rFonts w:ascii="Calibri" w:eastAsia="Calibri" w:hAnsi="Calibri" w:cs="Calibri"/>
          <w:sz w:val="24"/>
          <w:szCs w:val="22"/>
        </w:rPr>
        <w:t xml:space="preserve">race, parental education, </w:t>
      </w:r>
      <w:r w:rsidR="001F692B">
        <w:rPr>
          <w:rFonts w:ascii="Calibri" w:eastAsia="Calibri" w:hAnsi="Calibri" w:cs="Calibri"/>
          <w:sz w:val="24"/>
          <w:szCs w:val="22"/>
        </w:rPr>
        <w:t xml:space="preserve">body type classification, </w:t>
      </w:r>
      <w:r w:rsidR="00512B0E">
        <w:rPr>
          <w:rFonts w:ascii="Calibri" w:eastAsia="Calibri" w:hAnsi="Calibri" w:cs="Calibri"/>
          <w:sz w:val="24"/>
          <w:szCs w:val="22"/>
        </w:rPr>
        <w:t>health behaviours</w:t>
      </w:r>
      <w:r w:rsidR="004B1D57">
        <w:rPr>
          <w:rFonts w:ascii="Calibri" w:eastAsia="Calibri" w:hAnsi="Calibri" w:cs="Calibri"/>
          <w:sz w:val="24"/>
          <w:szCs w:val="22"/>
        </w:rPr>
        <w:t>, menopausal status</w:t>
      </w:r>
      <w:r w:rsidR="00512B0E">
        <w:rPr>
          <w:rFonts w:ascii="Calibri" w:eastAsia="Calibri" w:hAnsi="Calibri" w:cs="Calibri"/>
          <w:sz w:val="24"/>
          <w:szCs w:val="22"/>
        </w:rPr>
        <w:t xml:space="preserve"> and medication use</w:t>
      </w:r>
      <w:r w:rsidR="004B1D57">
        <w:rPr>
          <w:rFonts w:ascii="Calibri" w:eastAsia="Calibri" w:hAnsi="Calibri" w:cs="Calibri"/>
          <w:sz w:val="24"/>
          <w:szCs w:val="22"/>
        </w:rPr>
        <w:t xml:space="preserve"> (ibuprofen and antidepressant</w:t>
      </w:r>
      <w:r w:rsidR="00B51464">
        <w:rPr>
          <w:rFonts w:ascii="Calibri" w:eastAsia="Calibri" w:hAnsi="Calibri" w:cs="Calibri"/>
          <w:sz w:val="24"/>
          <w:szCs w:val="22"/>
        </w:rPr>
        <w:t>s)</w:t>
      </w:r>
      <w:r w:rsidRPr="00205CAF">
        <w:rPr>
          <w:rFonts w:ascii="Calibri" w:eastAsia="Calibri" w:hAnsi="Calibri" w:cs="Calibri"/>
          <w:sz w:val="24"/>
          <w:szCs w:val="22"/>
        </w:rPr>
        <w:t xml:space="preserve">, the study found a significant association between the severity of posttraumatic stress disorder symptoms and hypothyroidism risk, with higher posttraumatic stress disorder symptom levels corresponding to increased hypothyroidism </w:t>
      </w:r>
      <w:r w:rsidR="002E3908">
        <w:rPr>
          <w:rFonts w:ascii="Calibri" w:eastAsia="Calibri" w:hAnsi="Calibri" w:cs="Calibri"/>
          <w:sz w:val="24"/>
          <w:szCs w:val="22"/>
        </w:rPr>
        <w:t xml:space="preserve">in </w:t>
      </w:r>
      <w:r w:rsidR="00B21C78">
        <w:rPr>
          <w:rFonts w:ascii="Calibri" w:eastAsia="Calibri" w:hAnsi="Calibri" w:cs="Calibri"/>
          <w:sz w:val="24"/>
          <w:szCs w:val="22"/>
        </w:rPr>
        <w:t>women exposed to trauma compared to women not exposed to trauma</w:t>
      </w:r>
      <w:r w:rsidRPr="00205CAF">
        <w:rPr>
          <w:rFonts w:ascii="Calibri" w:eastAsia="Calibri" w:hAnsi="Calibri" w:cs="Calibri"/>
          <w:sz w:val="24"/>
          <w:szCs w:val="22"/>
        </w:rPr>
        <w:t xml:space="preserve"> (trauma with no symptoms, Hazard Ratio (HR) = 1.08</w:t>
      </w:r>
      <w:r w:rsidR="009F1058">
        <w:rPr>
          <w:rFonts w:ascii="Calibri" w:eastAsia="Calibri" w:hAnsi="Calibri" w:cs="Calibri"/>
          <w:sz w:val="24"/>
          <w:szCs w:val="22"/>
        </w:rPr>
        <w:t>,</w:t>
      </w:r>
      <w:r w:rsidRPr="00205CAF">
        <w:rPr>
          <w:rFonts w:ascii="Calibri" w:eastAsia="Calibri" w:hAnsi="Calibri" w:cs="Calibri"/>
          <w:sz w:val="24"/>
          <w:szCs w:val="22"/>
        </w:rPr>
        <w:t xml:space="preserve"> </w:t>
      </w:r>
      <w:r w:rsidR="00ED2306">
        <w:rPr>
          <w:rFonts w:ascii="Calibri" w:eastAsia="Calibri" w:hAnsi="Calibri" w:cs="Calibri"/>
          <w:sz w:val="24"/>
          <w:szCs w:val="22"/>
        </w:rPr>
        <w:t xml:space="preserve">95% CI </w:t>
      </w:r>
      <w:r w:rsidR="0068189D">
        <w:rPr>
          <w:rFonts w:ascii="Calibri" w:eastAsia="Calibri" w:hAnsi="Calibri" w:cs="Calibri"/>
          <w:sz w:val="24"/>
          <w:szCs w:val="22"/>
        </w:rPr>
        <w:t>[</w:t>
      </w:r>
      <w:r w:rsidRPr="00205CAF">
        <w:rPr>
          <w:rFonts w:ascii="Calibri" w:eastAsia="Calibri" w:hAnsi="Calibri" w:cs="Calibri"/>
          <w:sz w:val="24"/>
          <w:szCs w:val="22"/>
        </w:rPr>
        <w:t>1.02</w:t>
      </w:r>
      <w:r w:rsidR="00D11612">
        <w:rPr>
          <w:rFonts w:ascii="Calibri" w:eastAsia="Calibri" w:hAnsi="Calibri" w:cs="Calibri"/>
          <w:sz w:val="24"/>
          <w:szCs w:val="22"/>
        </w:rPr>
        <w:t>,</w:t>
      </w:r>
      <w:r w:rsidRPr="00205CAF">
        <w:rPr>
          <w:rFonts w:ascii="Calibri" w:eastAsia="Calibri" w:hAnsi="Calibri" w:cs="Calibri"/>
          <w:sz w:val="24"/>
          <w:szCs w:val="22"/>
        </w:rPr>
        <w:t>1.15</w:t>
      </w:r>
      <w:r w:rsidR="0068189D">
        <w:rPr>
          <w:rFonts w:ascii="Calibri" w:eastAsia="Calibri" w:hAnsi="Calibri" w:cs="Calibri"/>
          <w:sz w:val="24"/>
          <w:szCs w:val="22"/>
        </w:rPr>
        <w:t>]</w:t>
      </w:r>
      <w:r w:rsidRPr="00205CAF">
        <w:rPr>
          <w:rFonts w:ascii="Calibri" w:eastAsia="Calibri" w:hAnsi="Calibri" w:cs="Calibri"/>
          <w:sz w:val="24"/>
          <w:szCs w:val="22"/>
        </w:rPr>
        <w:t xml:space="preserve">; </w:t>
      </w:r>
      <w:r w:rsidR="00410E31">
        <w:rPr>
          <w:rFonts w:ascii="Calibri" w:eastAsia="Calibri" w:hAnsi="Calibri" w:cs="Calibri"/>
          <w:sz w:val="24"/>
          <w:szCs w:val="22"/>
        </w:rPr>
        <w:t xml:space="preserve">trauma with </w:t>
      </w:r>
      <w:r w:rsidRPr="00205CAF">
        <w:rPr>
          <w:rFonts w:ascii="Calibri" w:eastAsia="Calibri" w:hAnsi="Calibri" w:cs="Calibri"/>
          <w:sz w:val="24"/>
          <w:szCs w:val="22"/>
        </w:rPr>
        <w:t>1–3 symptoms, HR =</w:t>
      </w:r>
      <w:r w:rsidR="00EB19BF">
        <w:rPr>
          <w:rFonts w:ascii="Calibri" w:eastAsia="Calibri" w:hAnsi="Calibri" w:cs="Calibri"/>
          <w:sz w:val="24"/>
          <w:szCs w:val="22"/>
        </w:rPr>
        <w:t xml:space="preserve"> </w:t>
      </w:r>
      <w:r w:rsidRPr="00205CAF">
        <w:rPr>
          <w:rFonts w:ascii="Calibri" w:eastAsia="Calibri" w:hAnsi="Calibri" w:cs="Calibri"/>
          <w:sz w:val="24"/>
          <w:szCs w:val="22"/>
        </w:rPr>
        <w:t>1.12</w:t>
      </w:r>
      <w:r w:rsidR="00ED2306">
        <w:rPr>
          <w:rFonts w:ascii="Calibri" w:eastAsia="Calibri" w:hAnsi="Calibri" w:cs="Calibri"/>
          <w:sz w:val="24"/>
          <w:szCs w:val="22"/>
        </w:rPr>
        <w:t>, 95% CI</w:t>
      </w:r>
      <w:r w:rsidRPr="00205CAF">
        <w:rPr>
          <w:rFonts w:ascii="Calibri" w:eastAsia="Calibri" w:hAnsi="Calibri" w:cs="Calibri"/>
          <w:sz w:val="24"/>
          <w:szCs w:val="22"/>
        </w:rPr>
        <w:t xml:space="preserve"> </w:t>
      </w:r>
      <w:r w:rsidR="0068189D">
        <w:rPr>
          <w:rFonts w:ascii="Calibri" w:eastAsia="Calibri" w:hAnsi="Calibri" w:cs="Calibri"/>
          <w:sz w:val="24"/>
          <w:szCs w:val="22"/>
        </w:rPr>
        <w:t>[</w:t>
      </w:r>
      <w:r w:rsidRPr="00205CAF">
        <w:rPr>
          <w:rFonts w:ascii="Calibri" w:eastAsia="Calibri" w:hAnsi="Calibri" w:cs="Calibri"/>
          <w:sz w:val="24"/>
          <w:szCs w:val="22"/>
        </w:rPr>
        <w:t>1.04</w:t>
      </w:r>
      <w:r w:rsidR="00D11612">
        <w:rPr>
          <w:rFonts w:ascii="Calibri" w:eastAsia="Calibri" w:hAnsi="Calibri" w:cs="Calibri"/>
          <w:sz w:val="24"/>
          <w:szCs w:val="22"/>
        </w:rPr>
        <w:t>,</w:t>
      </w:r>
      <w:r w:rsidRPr="00205CAF">
        <w:rPr>
          <w:rFonts w:ascii="Calibri" w:eastAsia="Calibri" w:hAnsi="Calibri" w:cs="Calibri"/>
          <w:sz w:val="24"/>
          <w:szCs w:val="22"/>
        </w:rPr>
        <w:t>1.21</w:t>
      </w:r>
      <w:r w:rsidR="0068189D">
        <w:rPr>
          <w:rFonts w:ascii="Calibri" w:eastAsia="Calibri" w:hAnsi="Calibri" w:cs="Calibri"/>
          <w:sz w:val="24"/>
          <w:szCs w:val="22"/>
        </w:rPr>
        <w:t>]</w:t>
      </w:r>
      <w:r w:rsidRPr="00205CAF">
        <w:rPr>
          <w:rFonts w:ascii="Calibri" w:eastAsia="Calibri" w:hAnsi="Calibri" w:cs="Calibri"/>
          <w:sz w:val="24"/>
          <w:szCs w:val="22"/>
        </w:rPr>
        <w:t xml:space="preserve">; </w:t>
      </w:r>
      <w:r w:rsidR="00410E31">
        <w:rPr>
          <w:rFonts w:ascii="Calibri" w:eastAsia="Calibri" w:hAnsi="Calibri" w:cs="Calibri"/>
          <w:sz w:val="24"/>
          <w:szCs w:val="22"/>
        </w:rPr>
        <w:t xml:space="preserve">trauma with </w:t>
      </w:r>
      <w:r w:rsidRPr="00205CAF">
        <w:rPr>
          <w:rFonts w:ascii="Calibri" w:eastAsia="Calibri" w:hAnsi="Calibri" w:cs="Calibri"/>
          <w:sz w:val="24"/>
          <w:szCs w:val="22"/>
        </w:rPr>
        <w:t>4–5 symptoms, HR = 1.23</w:t>
      </w:r>
      <w:r w:rsidR="0068189D">
        <w:rPr>
          <w:rFonts w:ascii="Calibri" w:eastAsia="Calibri" w:hAnsi="Calibri" w:cs="Calibri"/>
          <w:sz w:val="24"/>
          <w:szCs w:val="22"/>
        </w:rPr>
        <w:t>, 95% CI [</w:t>
      </w:r>
      <w:r w:rsidRPr="00205CAF">
        <w:rPr>
          <w:rFonts w:ascii="Calibri" w:eastAsia="Calibri" w:hAnsi="Calibri" w:cs="Calibri"/>
          <w:sz w:val="24"/>
          <w:szCs w:val="22"/>
        </w:rPr>
        <w:t>1.13</w:t>
      </w:r>
      <w:r w:rsidR="00D11612">
        <w:rPr>
          <w:rFonts w:ascii="Calibri" w:eastAsia="Calibri" w:hAnsi="Calibri" w:cs="Calibri"/>
          <w:sz w:val="24"/>
          <w:szCs w:val="22"/>
        </w:rPr>
        <w:t>,</w:t>
      </w:r>
      <w:r w:rsidRPr="00205CAF">
        <w:rPr>
          <w:rFonts w:ascii="Calibri" w:eastAsia="Calibri" w:hAnsi="Calibri" w:cs="Calibri"/>
          <w:sz w:val="24"/>
          <w:szCs w:val="22"/>
        </w:rPr>
        <w:t>1.34</w:t>
      </w:r>
      <w:r w:rsidR="0068189D">
        <w:rPr>
          <w:rFonts w:ascii="Calibri" w:eastAsia="Calibri" w:hAnsi="Calibri" w:cs="Calibri"/>
          <w:sz w:val="24"/>
          <w:szCs w:val="22"/>
        </w:rPr>
        <w:t>]</w:t>
      </w:r>
      <w:r w:rsidRPr="00205CAF">
        <w:rPr>
          <w:rFonts w:ascii="Calibri" w:eastAsia="Calibri" w:hAnsi="Calibri" w:cs="Calibri"/>
          <w:sz w:val="24"/>
          <w:szCs w:val="22"/>
        </w:rPr>
        <w:t xml:space="preserve">; and </w:t>
      </w:r>
      <w:r w:rsidR="00410E31">
        <w:rPr>
          <w:rFonts w:ascii="Calibri" w:eastAsia="Calibri" w:hAnsi="Calibri" w:cs="Calibri"/>
          <w:sz w:val="24"/>
          <w:szCs w:val="22"/>
        </w:rPr>
        <w:t xml:space="preserve">trauma with </w:t>
      </w:r>
      <w:r w:rsidRPr="00205CAF">
        <w:rPr>
          <w:rFonts w:ascii="Calibri" w:eastAsia="Calibri" w:hAnsi="Calibri" w:cs="Calibri"/>
          <w:sz w:val="24"/>
          <w:szCs w:val="22"/>
        </w:rPr>
        <w:t>6–7 symptoms, HR = 1.26</w:t>
      </w:r>
      <w:r w:rsidR="005025C6">
        <w:rPr>
          <w:rFonts w:ascii="Calibri" w:eastAsia="Calibri" w:hAnsi="Calibri" w:cs="Calibri"/>
          <w:sz w:val="24"/>
          <w:szCs w:val="22"/>
        </w:rPr>
        <w:t>, 95% CI</w:t>
      </w:r>
      <w:r w:rsidRPr="00205CAF">
        <w:rPr>
          <w:rFonts w:ascii="Calibri" w:eastAsia="Calibri" w:hAnsi="Calibri" w:cs="Calibri"/>
          <w:sz w:val="24"/>
          <w:szCs w:val="22"/>
        </w:rPr>
        <w:t xml:space="preserve"> </w:t>
      </w:r>
      <w:r w:rsidR="005E2AA5">
        <w:rPr>
          <w:rFonts w:ascii="Calibri" w:eastAsia="Calibri" w:hAnsi="Calibri" w:cs="Calibri"/>
          <w:sz w:val="24"/>
          <w:szCs w:val="22"/>
        </w:rPr>
        <w:t>[</w:t>
      </w:r>
      <w:r w:rsidRPr="00205CAF">
        <w:rPr>
          <w:rFonts w:ascii="Calibri" w:eastAsia="Calibri" w:hAnsi="Calibri" w:cs="Calibri"/>
          <w:sz w:val="24"/>
          <w:szCs w:val="22"/>
        </w:rPr>
        <w:t>1.14</w:t>
      </w:r>
      <w:r w:rsidR="00D11612">
        <w:rPr>
          <w:rFonts w:ascii="Calibri" w:eastAsia="Calibri" w:hAnsi="Calibri" w:cs="Calibri"/>
          <w:sz w:val="24"/>
          <w:szCs w:val="22"/>
        </w:rPr>
        <w:t>,</w:t>
      </w:r>
      <w:r w:rsidRPr="00205CAF">
        <w:rPr>
          <w:rFonts w:ascii="Calibri" w:eastAsia="Calibri" w:hAnsi="Calibri" w:cs="Calibri"/>
          <w:sz w:val="24"/>
          <w:szCs w:val="22"/>
        </w:rPr>
        <w:t>1.40</w:t>
      </w:r>
      <w:r w:rsidR="005E2AA5">
        <w:rPr>
          <w:rFonts w:ascii="Calibri" w:eastAsia="Calibri" w:hAnsi="Calibri" w:cs="Calibri"/>
          <w:sz w:val="24"/>
          <w:szCs w:val="22"/>
        </w:rPr>
        <w:t>]</w:t>
      </w:r>
      <w:r w:rsidR="008D5074">
        <w:rPr>
          <w:rFonts w:ascii="Calibri" w:eastAsia="Calibri" w:hAnsi="Calibri" w:cs="Calibri"/>
          <w:sz w:val="24"/>
          <w:szCs w:val="22"/>
        </w:rPr>
        <w:t xml:space="preserve">; </w:t>
      </w:r>
      <w:r w:rsidR="008D5074" w:rsidRPr="008B5160">
        <w:rPr>
          <w:rFonts w:ascii="Calibri" w:eastAsia="Calibri" w:hAnsi="Calibri" w:cs="Calibri"/>
          <w:i/>
          <w:iCs/>
          <w:sz w:val="24"/>
          <w:szCs w:val="22"/>
        </w:rPr>
        <w:t>p</w:t>
      </w:r>
      <w:r w:rsidR="008D5074" w:rsidRPr="00205CAF">
        <w:rPr>
          <w:rFonts w:ascii="Calibri" w:eastAsia="Calibri" w:hAnsi="Calibri" w:cs="Calibri"/>
          <w:sz w:val="24"/>
          <w:szCs w:val="22"/>
        </w:rPr>
        <w:t>-trend &lt;0.001</w:t>
      </w:r>
      <w:r w:rsidR="008D5074">
        <w:rPr>
          <w:rFonts w:ascii="Calibri" w:eastAsia="Calibri" w:hAnsi="Calibri" w:cs="Calibri"/>
          <w:sz w:val="24"/>
          <w:szCs w:val="22"/>
        </w:rPr>
        <w:t>)</w:t>
      </w:r>
      <w:r w:rsidR="00D969BA">
        <w:rPr>
          <w:rFonts w:ascii="Calibri" w:eastAsia="Calibri" w:hAnsi="Calibri" w:cs="Calibri"/>
          <w:sz w:val="24"/>
          <w:szCs w:val="22"/>
        </w:rPr>
        <w:t>.</w:t>
      </w:r>
    </w:p>
    <w:p w14:paraId="51AE9E9E" w14:textId="77777777" w:rsidR="00205CAF" w:rsidRPr="00205CAF" w:rsidRDefault="00205CAF" w:rsidP="00205CAF">
      <w:pPr>
        <w:ind w:left="720"/>
        <w:rPr>
          <w:rFonts w:ascii="Calibri" w:eastAsia="Calibri" w:hAnsi="Calibri" w:cs="Calibri"/>
          <w:sz w:val="24"/>
          <w:szCs w:val="22"/>
        </w:rPr>
      </w:pPr>
    </w:p>
    <w:p w14:paraId="33080285" w14:textId="471C20E5" w:rsidR="00205CAF" w:rsidRPr="00205CAF" w:rsidRDefault="009733F9" w:rsidP="00205CAF">
      <w:pPr>
        <w:numPr>
          <w:ilvl w:val="0"/>
          <w:numId w:val="21"/>
        </w:numPr>
        <w:rPr>
          <w:rFonts w:ascii="Calibri" w:eastAsia="Calibri" w:hAnsi="Calibri" w:cs="Calibri"/>
          <w:sz w:val="24"/>
          <w:szCs w:val="22"/>
        </w:rPr>
      </w:pPr>
      <w:r w:rsidRPr="009733F9">
        <w:rPr>
          <w:rFonts w:ascii="Calibri" w:eastAsia="Calibri" w:hAnsi="Calibri" w:cs="Calibri"/>
          <w:sz w:val="24"/>
          <w:szCs w:val="22"/>
        </w:rPr>
        <w:t xml:space="preserve">Jung et al. </w:t>
      </w:r>
      <w:r w:rsidR="007C5ADB">
        <w:rPr>
          <w:rFonts w:ascii="Calibri" w:eastAsia="Calibri" w:hAnsi="Calibri" w:cs="Calibri"/>
          <w:sz w:val="24"/>
          <w:szCs w:val="22"/>
        </w:rPr>
        <w:t>(</w:t>
      </w:r>
      <w:r w:rsidRPr="009733F9">
        <w:rPr>
          <w:rFonts w:ascii="Calibri" w:eastAsia="Calibri" w:hAnsi="Calibri" w:cs="Calibri"/>
          <w:sz w:val="24"/>
          <w:szCs w:val="22"/>
        </w:rPr>
        <w:t>2019</w:t>
      </w:r>
      <w:r w:rsidR="007C5ADB">
        <w:rPr>
          <w:rFonts w:ascii="Calibri" w:eastAsia="Calibri" w:hAnsi="Calibri" w:cs="Calibri"/>
          <w:sz w:val="24"/>
          <w:szCs w:val="22"/>
        </w:rPr>
        <w:t>)</w:t>
      </w:r>
      <w:r w:rsidRPr="009733F9">
        <w:rPr>
          <w:rFonts w:ascii="Calibri" w:eastAsia="Calibri" w:hAnsi="Calibri" w:cs="Calibri"/>
          <w:sz w:val="24"/>
          <w:szCs w:val="22"/>
        </w:rPr>
        <w:t xml:space="preserve"> [RMA ID 102800]</w:t>
      </w:r>
      <w:r w:rsidR="0056761B">
        <w:rPr>
          <w:rFonts w:ascii="Calibri" w:eastAsia="Calibri" w:hAnsi="Calibri" w:cs="Calibri"/>
          <w:sz w:val="24"/>
          <w:szCs w:val="22"/>
        </w:rPr>
        <w:t xml:space="preserve"> </w:t>
      </w:r>
      <w:r w:rsidR="00CC38F9">
        <w:rPr>
          <w:rFonts w:ascii="Calibri" w:eastAsia="Calibri" w:hAnsi="Calibri" w:cs="Calibri"/>
          <w:sz w:val="24"/>
          <w:szCs w:val="22"/>
        </w:rPr>
        <w:t xml:space="preserve">also </w:t>
      </w:r>
      <w:r w:rsidR="00406744">
        <w:rPr>
          <w:rFonts w:ascii="Calibri" w:eastAsia="Calibri" w:hAnsi="Calibri" w:cs="Calibri"/>
          <w:sz w:val="24"/>
          <w:szCs w:val="22"/>
        </w:rPr>
        <w:t xml:space="preserve">conducted prospective sensitivity analyses on their data set </w:t>
      </w:r>
      <w:r w:rsidR="00205CAF" w:rsidRPr="00205CAF">
        <w:rPr>
          <w:rFonts w:ascii="Calibri" w:eastAsia="Calibri" w:hAnsi="Calibri" w:cs="Calibri"/>
          <w:sz w:val="24"/>
          <w:szCs w:val="22"/>
        </w:rPr>
        <w:t>that excluded women with thyroid disease before 2009</w:t>
      </w:r>
      <w:r w:rsidR="004552D4">
        <w:rPr>
          <w:rFonts w:ascii="Calibri" w:eastAsia="Calibri" w:hAnsi="Calibri" w:cs="Calibri"/>
          <w:sz w:val="24"/>
          <w:szCs w:val="22"/>
        </w:rPr>
        <w:t>. They</w:t>
      </w:r>
      <w:r w:rsidR="0056761B">
        <w:rPr>
          <w:rFonts w:ascii="Calibri" w:eastAsia="Calibri" w:hAnsi="Calibri" w:cs="Calibri"/>
          <w:sz w:val="24"/>
          <w:szCs w:val="22"/>
        </w:rPr>
        <w:t xml:space="preserve"> </w:t>
      </w:r>
      <w:r w:rsidR="00205CAF" w:rsidRPr="00205CAF">
        <w:rPr>
          <w:rFonts w:ascii="Calibri" w:eastAsia="Calibri" w:hAnsi="Calibri" w:cs="Calibri"/>
          <w:sz w:val="24"/>
          <w:szCs w:val="22"/>
        </w:rPr>
        <w:t xml:space="preserve">examined whether posttraumatic stress disorder status in 2008 predicted incident hypothyroidism in 2009-2013. The </w:t>
      </w:r>
      <w:r w:rsidR="00406744">
        <w:rPr>
          <w:rFonts w:ascii="Calibri" w:eastAsia="Calibri" w:hAnsi="Calibri" w:cs="Calibri"/>
          <w:sz w:val="24"/>
          <w:szCs w:val="22"/>
        </w:rPr>
        <w:t>authors</w:t>
      </w:r>
      <w:r w:rsidR="006D38DE">
        <w:rPr>
          <w:rFonts w:ascii="Calibri" w:eastAsia="Calibri" w:hAnsi="Calibri" w:cs="Calibri"/>
          <w:sz w:val="24"/>
          <w:szCs w:val="22"/>
        </w:rPr>
        <w:t xml:space="preserve"> reported that</w:t>
      </w:r>
      <w:r w:rsidR="00205CAF" w:rsidRPr="00205CAF">
        <w:rPr>
          <w:rFonts w:ascii="Calibri" w:eastAsia="Calibri" w:hAnsi="Calibri" w:cs="Calibri"/>
          <w:sz w:val="24"/>
          <w:szCs w:val="22"/>
        </w:rPr>
        <w:t xml:space="preserve"> for women (n=297) with four or more </w:t>
      </w:r>
      <w:r w:rsidR="00010582">
        <w:rPr>
          <w:rFonts w:ascii="Calibri" w:eastAsia="Calibri" w:hAnsi="Calibri" w:cs="Calibri"/>
          <w:sz w:val="24"/>
          <w:szCs w:val="22"/>
        </w:rPr>
        <w:t>posttraumatic stress disorder</w:t>
      </w:r>
      <w:r w:rsidR="00205CAF" w:rsidRPr="00205CAF">
        <w:rPr>
          <w:rFonts w:ascii="Calibri" w:eastAsia="Calibri" w:hAnsi="Calibri" w:cs="Calibri"/>
          <w:sz w:val="24"/>
          <w:szCs w:val="22"/>
        </w:rPr>
        <w:t xml:space="preserve"> symptoms, hypothyroidism</w:t>
      </w:r>
      <w:r w:rsidR="00F9409B">
        <w:rPr>
          <w:rFonts w:ascii="Calibri" w:eastAsia="Calibri" w:hAnsi="Calibri" w:cs="Calibri"/>
          <w:sz w:val="24"/>
          <w:szCs w:val="22"/>
        </w:rPr>
        <w:t xml:space="preserve"> </w:t>
      </w:r>
      <w:r w:rsidR="00605774">
        <w:rPr>
          <w:rFonts w:ascii="Calibri" w:eastAsia="Calibri" w:hAnsi="Calibri" w:cs="Calibri"/>
          <w:sz w:val="24"/>
          <w:szCs w:val="22"/>
        </w:rPr>
        <w:t>risk</w:t>
      </w:r>
      <w:r w:rsidR="00205CAF" w:rsidRPr="00205CAF">
        <w:rPr>
          <w:rFonts w:ascii="Calibri" w:eastAsia="Calibri" w:hAnsi="Calibri" w:cs="Calibri"/>
          <w:sz w:val="24"/>
          <w:szCs w:val="22"/>
        </w:rPr>
        <w:t xml:space="preserve"> was</w:t>
      </w:r>
      <w:r w:rsidR="001758B3">
        <w:rPr>
          <w:rFonts w:ascii="Calibri" w:eastAsia="Calibri" w:hAnsi="Calibri" w:cs="Calibri"/>
          <w:sz w:val="24"/>
          <w:szCs w:val="22"/>
        </w:rPr>
        <w:t xml:space="preserve"> increased</w:t>
      </w:r>
      <w:r w:rsidR="00205CAF" w:rsidRPr="00205CAF">
        <w:rPr>
          <w:rFonts w:ascii="Calibri" w:eastAsia="Calibri" w:hAnsi="Calibri" w:cs="Calibri"/>
          <w:sz w:val="24"/>
          <w:szCs w:val="22"/>
        </w:rPr>
        <w:t xml:space="preserve"> </w:t>
      </w:r>
      <w:r w:rsidR="004F1EE7">
        <w:rPr>
          <w:rFonts w:ascii="Calibri" w:eastAsia="Calibri" w:hAnsi="Calibri" w:cs="Calibri"/>
          <w:sz w:val="24"/>
          <w:szCs w:val="22"/>
        </w:rPr>
        <w:t>(HR</w:t>
      </w:r>
      <w:r w:rsidR="00E32612">
        <w:rPr>
          <w:rFonts w:ascii="Calibri" w:eastAsia="Calibri" w:hAnsi="Calibri" w:cs="Calibri"/>
          <w:sz w:val="24"/>
          <w:szCs w:val="22"/>
        </w:rPr>
        <w:t xml:space="preserve"> = </w:t>
      </w:r>
      <w:r w:rsidR="00205CAF" w:rsidRPr="00205CAF">
        <w:rPr>
          <w:rFonts w:ascii="Calibri" w:eastAsia="Calibri" w:hAnsi="Calibri" w:cs="Calibri"/>
          <w:sz w:val="24"/>
          <w:szCs w:val="22"/>
        </w:rPr>
        <w:t>1.21</w:t>
      </w:r>
      <w:r w:rsidR="00C540C7">
        <w:rPr>
          <w:rFonts w:ascii="Calibri" w:eastAsia="Calibri" w:hAnsi="Calibri" w:cs="Calibri"/>
          <w:sz w:val="24"/>
          <w:szCs w:val="22"/>
        </w:rPr>
        <w:t>, 95% CI</w:t>
      </w:r>
      <w:r w:rsidR="00205CAF" w:rsidRPr="00205CAF">
        <w:rPr>
          <w:rFonts w:ascii="Calibri" w:eastAsia="Calibri" w:hAnsi="Calibri" w:cs="Calibri"/>
          <w:sz w:val="24"/>
          <w:szCs w:val="22"/>
        </w:rPr>
        <w:t xml:space="preserve"> </w:t>
      </w:r>
      <w:r w:rsidR="00C540C7">
        <w:rPr>
          <w:rFonts w:ascii="Calibri" w:eastAsia="Calibri" w:hAnsi="Calibri" w:cs="Calibri"/>
          <w:sz w:val="24"/>
          <w:szCs w:val="22"/>
        </w:rPr>
        <w:t>[</w:t>
      </w:r>
      <w:r w:rsidR="00205CAF" w:rsidRPr="00205CAF">
        <w:rPr>
          <w:rFonts w:ascii="Calibri" w:eastAsia="Calibri" w:hAnsi="Calibri" w:cs="Calibri"/>
          <w:sz w:val="24"/>
          <w:szCs w:val="22"/>
        </w:rPr>
        <w:t>1.03</w:t>
      </w:r>
      <w:r w:rsidR="0051635D">
        <w:rPr>
          <w:rFonts w:ascii="Calibri" w:eastAsia="Calibri" w:hAnsi="Calibri" w:cs="Calibri"/>
          <w:sz w:val="24"/>
          <w:szCs w:val="22"/>
        </w:rPr>
        <w:t>,</w:t>
      </w:r>
      <w:r w:rsidR="00205CAF" w:rsidRPr="00205CAF">
        <w:rPr>
          <w:rFonts w:ascii="Calibri" w:eastAsia="Calibri" w:hAnsi="Calibri" w:cs="Calibri"/>
          <w:sz w:val="24"/>
          <w:szCs w:val="22"/>
        </w:rPr>
        <w:t>1.42</w:t>
      </w:r>
      <w:r w:rsidR="00C540C7">
        <w:rPr>
          <w:rFonts w:ascii="Calibri" w:eastAsia="Calibri" w:hAnsi="Calibri" w:cs="Calibri"/>
          <w:sz w:val="24"/>
          <w:szCs w:val="22"/>
        </w:rPr>
        <w:t>]</w:t>
      </w:r>
      <w:r w:rsidR="00205CAF" w:rsidRPr="00205CAF">
        <w:rPr>
          <w:rFonts w:ascii="Calibri" w:eastAsia="Calibri" w:hAnsi="Calibri" w:cs="Calibri"/>
          <w:sz w:val="24"/>
          <w:szCs w:val="22"/>
        </w:rPr>
        <w:t xml:space="preserve">, </w:t>
      </w:r>
      <w:r w:rsidR="00205CAF" w:rsidRPr="008B5160">
        <w:rPr>
          <w:rFonts w:ascii="Calibri" w:eastAsia="Calibri" w:hAnsi="Calibri" w:cs="Calibri"/>
          <w:i/>
          <w:iCs/>
          <w:sz w:val="24"/>
          <w:szCs w:val="22"/>
        </w:rPr>
        <w:t>p</w:t>
      </w:r>
      <w:r w:rsidR="00205CAF" w:rsidRPr="00205CAF">
        <w:rPr>
          <w:rFonts w:ascii="Calibri" w:eastAsia="Calibri" w:hAnsi="Calibri" w:cs="Calibri"/>
          <w:sz w:val="24"/>
          <w:szCs w:val="22"/>
        </w:rPr>
        <w:t>-trend = 0.012</w:t>
      </w:r>
      <w:r w:rsidR="004F1EE7">
        <w:rPr>
          <w:rFonts w:ascii="Calibri" w:eastAsia="Calibri" w:hAnsi="Calibri" w:cs="Calibri"/>
          <w:sz w:val="24"/>
          <w:szCs w:val="22"/>
        </w:rPr>
        <w:t>)</w:t>
      </w:r>
      <w:r w:rsidR="00205CAF" w:rsidRPr="00205CAF">
        <w:rPr>
          <w:rFonts w:ascii="Calibri" w:eastAsia="Calibri" w:hAnsi="Calibri" w:cs="Calibri"/>
          <w:sz w:val="24"/>
          <w:szCs w:val="22"/>
        </w:rPr>
        <w:t>.</w:t>
      </w:r>
      <w:r w:rsidR="00637A35">
        <w:rPr>
          <w:rFonts w:ascii="Calibri" w:eastAsia="Calibri" w:hAnsi="Calibri" w:cs="Calibri"/>
          <w:sz w:val="24"/>
          <w:szCs w:val="22"/>
        </w:rPr>
        <w:t xml:space="preserve"> </w:t>
      </w:r>
      <w:r w:rsidR="00010582">
        <w:rPr>
          <w:rFonts w:ascii="Calibri" w:eastAsia="Calibri" w:hAnsi="Calibri" w:cs="Calibri"/>
          <w:sz w:val="24"/>
          <w:szCs w:val="22"/>
        </w:rPr>
        <w:t xml:space="preserve">The associations with less than four </w:t>
      </w:r>
      <w:r w:rsidR="00010582" w:rsidRPr="00010582">
        <w:rPr>
          <w:rFonts w:ascii="Calibri" w:eastAsia="Calibri" w:hAnsi="Calibri" w:cs="Calibri"/>
          <w:sz w:val="24"/>
          <w:szCs w:val="22"/>
        </w:rPr>
        <w:t>posttraumatic stress disorder symptoms</w:t>
      </w:r>
      <w:r w:rsidR="00010582">
        <w:rPr>
          <w:rFonts w:ascii="Calibri" w:eastAsia="Calibri" w:hAnsi="Calibri" w:cs="Calibri"/>
          <w:sz w:val="24"/>
          <w:szCs w:val="22"/>
        </w:rPr>
        <w:t xml:space="preserve"> were not significant</w:t>
      </w:r>
      <w:r w:rsidR="007A3055">
        <w:rPr>
          <w:rFonts w:ascii="Calibri" w:eastAsia="Calibri" w:hAnsi="Calibri" w:cs="Calibri"/>
          <w:sz w:val="24"/>
          <w:szCs w:val="22"/>
        </w:rPr>
        <w:t xml:space="preserve">. </w:t>
      </w:r>
    </w:p>
    <w:p w14:paraId="55556A1A" w14:textId="77777777" w:rsidR="00205CAF" w:rsidRPr="00205CAF" w:rsidRDefault="00205CAF" w:rsidP="00205CAF">
      <w:pPr>
        <w:ind w:left="720"/>
        <w:rPr>
          <w:rFonts w:ascii="Calibri" w:eastAsia="Calibri" w:hAnsi="Calibri" w:cs="Calibri"/>
          <w:sz w:val="24"/>
          <w:szCs w:val="22"/>
        </w:rPr>
      </w:pPr>
    </w:p>
    <w:p w14:paraId="48D453B7" w14:textId="121CF2F6" w:rsidR="00205CAF" w:rsidRPr="00205CAF" w:rsidRDefault="00205CAF" w:rsidP="00205CAF">
      <w:pPr>
        <w:numPr>
          <w:ilvl w:val="0"/>
          <w:numId w:val="21"/>
        </w:numPr>
        <w:rPr>
          <w:rFonts w:ascii="Calibri" w:eastAsia="Calibri" w:hAnsi="Calibri" w:cs="Calibri"/>
          <w:sz w:val="24"/>
          <w:szCs w:val="22"/>
        </w:rPr>
      </w:pPr>
      <w:r w:rsidRPr="00205CAF">
        <w:rPr>
          <w:rFonts w:ascii="Calibri" w:eastAsia="Calibri" w:hAnsi="Calibri" w:cs="Calibri"/>
          <w:sz w:val="24"/>
          <w:szCs w:val="22"/>
        </w:rPr>
        <w:lastRenderedPageBreak/>
        <w:t xml:space="preserve">The </w:t>
      </w:r>
      <w:r w:rsidR="00BC7009">
        <w:rPr>
          <w:rFonts w:ascii="Calibri" w:eastAsia="Calibri" w:hAnsi="Calibri" w:cs="Calibri"/>
          <w:sz w:val="24"/>
          <w:szCs w:val="22"/>
        </w:rPr>
        <w:t>study by</w:t>
      </w:r>
      <w:r w:rsidR="00FE1C84">
        <w:rPr>
          <w:rFonts w:ascii="Calibri" w:eastAsia="Calibri" w:hAnsi="Calibri" w:cs="Calibri"/>
          <w:sz w:val="24"/>
          <w:szCs w:val="22"/>
        </w:rPr>
        <w:t xml:space="preserve"> </w:t>
      </w:r>
      <w:r w:rsidR="00FE1C84" w:rsidRPr="00FE1C84">
        <w:rPr>
          <w:rFonts w:ascii="Calibri" w:eastAsia="Calibri" w:hAnsi="Calibri" w:cs="Calibri"/>
          <w:sz w:val="24"/>
          <w:szCs w:val="22"/>
        </w:rPr>
        <w:t xml:space="preserve">Jung et al. </w:t>
      </w:r>
      <w:r w:rsidR="005D516E">
        <w:rPr>
          <w:rFonts w:ascii="Calibri" w:eastAsia="Calibri" w:hAnsi="Calibri" w:cs="Calibri"/>
          <w:sz w:val="24"/>
          <w:szCs w:val="22"/>
        </w:rPr>
        <w:t>(</w:t>
      </w:r>
      <w:r w:rsidR="00FE1C84" w:rsidRPr="00FE1C84">
        <w:rPr>
          <w:rFonts w:ascii="Calibri" w:eastAsia="Calibri" w:hAnsi="Calibri" w:cs="Calibri"/>
          <w:sz w:val="24"/>
          <w:szCs w:val="22"/>
        </w:rPr>
        <w:t>2019</w:t>
      </w:r>
      <w:r w:rsidR="005D516E">
        <w:rPr>
          <w:rFonts w:ascii="Calibri" w:eastAsia="Calibri" w:hAnsi="Calibri" w:cs="Calibri"/>
          <w:sz w:val="24"/>
          <w:szCs w:val="22"/>
        </w:rPr>
        <w:t>)</w:t>
      </w:r>
      <w:r w:rsidR="00FE1C84" w:rsidRPr="00FE1C84">
        <w:rPr>
          <w:rFonts w:ascii="Calibri" w:eastAsia="Calibri" w:hAnsi="Calibri" w:cs="Calibri"/>
          <w:sz w:val="24"/>
          <w:szCs w:val="22"/>
        </w:rPr>
        <w:t xml:space="preserve"> [RMA ID 102800</w:t>
      </w:r>
      <w:r w:rsidR="00FE1C84">
        <w:rPr>
          <w:rFonts w:ascii="Calibri" w:eastAsia="Calibri" w:hAnsi="Calibri" w:cs="Calibri"/>
          <w:sz w:val="24"/>
          <w:szCs w:val="22"/>
        </w:rPr>
        <w:t>]</w:t>
      </w:r>
      <w:r w:rsidR="00BC7009">
        <w:rPr>
          <w:rFonts w:ascii="Calibri" w:eastAsia="Calibri" w:hAnsi="Calibri" w:cs="Calibri"/>
          <w:sz w:val="24"/>
          <w:szCs w:val="22"/>
        </w:rPr>
        <w:t xml:space="preserve"> is limited by </w:t>
      </w:r>
      <w:r w:rsidR="00BE28F2">
        <w:rPr>
          <w:rFonts w:ascii="Calibri" w:eastAsia="Calibri" w:hAnsi="Calibri" w:cs="Calibri"/>
          <w:sz w:val="24"/>
          <w:szCs w:val="22"/>
        </w:rPr>
        <w:t>the</w:t>
      </w:r>
      <w:r w:rsidRPr="00205CAF">
        <w:rPr>
          <w:rFonts w:ascii="Calibri" w:eastAsia="Calibri" w:hAnsi="Calibri" w:cs="Calibri"/>
          <w:sz w:val="24"/>
          <w:szCs w:val="22"/>
        </w:rPr>
        <w:t xml:space="preserve"> reliance on self-reported </w:t>
      </w:r>
      <w:r w:rsidR="003F6DCE">
        <w:rPr>
          <w:rFonts w:ascii="Calibri" w:eastAsia="Calibri" w:hAnsi="Calibri" w:cs="Calibri"/>
          <w:sz w:val="24"/>
          <w:szCs w:val="22"/>
        </w:rPr>
        <w:t xml:space="preserve">diagnosis of </w:t>
      </w:r>
      <w:r w:rsidRPr="00205CAF">
        <w:rPr>
          <w:rFonts w:ascii="Calibri" w:eastAsia="Calibri" w:hAnsi="Calibri" w:cs="Calibri"/>
          <w:sz w:val="24"/>
          <w:szCs w:val="22"/>
        </w:rPr>
        <w:t>thyroid dysfunction</w:t>
      </w:r>
      <w:r w:rsidR="007A3055">
        <w:rPr>
          <w:rFonts w:ascii="Calibri" w:eastAsia="Calibri" w:hAnsi="Calibri" w:cs="Calibri"/>
          <w:sz w:val="24"/>
          <w:szCs w:val="22"/>
        </w:rPr>
        <w:t xml:space="preserve">. </w:t>
      </w:r>
      <w:r w:rsidRPr="00205CAF">
        <w:rPr>
          <w:rFonts w:ascii="Calibri" w:eastAsia="Calibri" w:hAnsi="Calibri" w:cs="Calibri"/>
          <w:sz w:val="24"/>
          <w:szCs w:val="22"/>
        </w:rPr>
        <w:t>Posttraumatic stress disorder and trauma were also assessed through self-report</w:t>
      </w:r>
      <w:r w:rsidR="00E34E60">
        <w:rPr>
          <w:rFonts w:ascii="Calibri" w:eastAsia="Calibri" w:hAnsi="Calibri" w:cs="Calibri"/>
          <w:sz w:val="24"/>
          <w:szCs w:val="22"/>
        </w:rPr>
        <w:t xml:space="preserve"> using the</w:t>
      </w:r>
      <w:r w:rsidRPr="00205CAF">
        <w:rPr>
          <w:rFonts w:ascii="Calibri" w:eastAsia="Calibri" w:hAnsi="Calibri" w:cs="Calibri"/>
          <w:sz w:val="24"/>
          <w:szCs w:val="22"/>
        </w:rPr>
        <w:t xml:space="preserve"> </w:t>
      </w:r>
      <w:r w:rsidR="00E34E60" w:rsidRPr="00E34E60">
        <w:rPr>
          <w:rFonts w:ascii="Calibri" w:eastAsia="Calibri" w:hAnsi="Calibri" w:cs="Calibri"/>
          <w:sz w:val="24"/>
          <w:szCs w:val="22"/>
        </w:rPr>
        <w:t>Brief Screening Scale for Diagnostic and Statistical Manual of Mental Disorders (DSM)-IV-</w:t>
      </w:r>
      <w:proofErr w:type="gramStart"/>
      <w:r w:rsidR="00326999">
        <w:rPr>
          <w:rFonts w:ascii="Calibri" w:eastAsia="Calibri" w:hAnsi="Calibri" w:cs="Calibri"/>
          <w:sz w:val="24"/>
          <w:szCs w:val="22"/>
        </w:rPr>
        <w:t xml:space="preserve">Posttraumatic </w:t>
      </w:r>
      <w:r w:rsidR="00400099">
        <w:rPr>
          <w:rFonts w:ascii="Calibri" w:eastAsia="Calibri" w:hAnsi="Calibri" w:cs="Calibri"/>
          <w:sz w:val="24"/>
          <w:szCs w:val="22"/>
        </w:rPr>
        <w:t>S</w:t>
      </w:r>
      <w:r w:rsidR="00326999">
        <w:rPr>
          <w:rFonts w:ascii="Calibri" w:eastAsia="Calibri" w:hAnsi="Calibri" w:cs="Calibri"/>
          <w:sz w:val="24"/>
          <w:szCs w:val="22"/>
        </w:rPr>
        <w:t xml:space="preserve">tress </w:t>
      </w:r>
      <w:r w:rsidR="00400099">
        <w:rPr>
          <w:rFonts w:ascii="Calibri" w:eastAsia="Calibri" w:hAnsi="Calibri" w:cs="Calibri"/>
          <w:sz w:val="24"/>
          <w:szCs w:val="22"/>
        </w:rPr>
        <w:t>D</w:t>
      </w:r>
      <w:r w:rsidR="00326999">
        <w:rPr>
          <w:rFonts w:ascii="Calibri" w:eastAsia="Calibri" w:hAnsi="Calibri" w:cs="Calibri"/>
          <w:sz w:val="24"/>
          <w:szCs w:val="22"/>
        </w:rPr>
        <w:t>isorder</w:t>
      </w:r>
      <w:proofErr w:type="gramEnd"/>
      <w:r w:rsidR="00B616E9">
        <w:rPr>
          <w:rFonts w:ascii="Calibri" w:eastAsia="Calibri" w:hAnsi="Calibri" w:cs="Calibri"/>
          <w:sz w:val="24"/>
          <w:szCs w:val="22"/>
        </w:rPr>
        <w:t>, as well as a violence questionnaire and a modified version of the 16-item Brief Trauma</w:t>
      </w:r>
      <w:r w:rsidR="009A189C">
        <w:rPr>
          <w:rFonts w:ascii="Calibri" w:eastAsia="Calibri" w:hAnsi="Calibri" w:cs="Calibri"/>
          <w:sz w:val="24"/>
          <w:szCs w:val="22"/>
        </w:rPr>
        <w:t xml:space="preserve"> Questionnaire</w:t>
      </w:r>
      <w:r w:rsidR="007A3055">
        <w:rPr>
          <w:rFonts w:ascii="Calibri" w:eastAsia="Calibri" w:hAnsi="Calibri" w:cs="Calibri"/>
          <w:sz w:val="24"/>
          <w:szCs w:val="22"/>
        </w:rPr>
        <w:t xml:space="preserve">. </w:t>
      </w:r>
      <w:r w:rsidR="00BA3F79">
        <w:rPr>
          <w:rFonts w:ascii="Calibri" w:eastAsia="Calibri" w:hAnsi="Calibri" w:cs="Calibri"/>
          <w:sz w:val="24"/>
          <w:szCs w:val="22"/>
        </w:rPr>
        <w:t>These</w:t>
      </w:r>
      <w:r w:rsidRPr="00205CAF">
        <w:rPr>
          <w:rFonts w:ascii="Calibri" w:eastAsia="Calibri" w:hAnsi="Calibri" w:cs="Calibri"/>
          <w:sz w:val="24"/>
          <w:szCs w:val="22"/>
        </w:rPr>
        <w:t xml:space="preserve"> </w:t>
      </w:r>
      <w:r w:rsidR="00BA3F79">
        <w:rPr>
          <w:rFonts w:ascii="Calibri" w:eastAsia="Calibri" w:hAnsi="Calibri" w:cs="Calibri"/>
          <w:sz w:val="24"/>
          <w:szCs w:val="22"/>
        </w:rPr>
        <w:t>assessments were conducted</w:t>
      </w:r>
      <w:r w:rsidRPr="00205CAF">
        <w:rPr>
          <w:rFonts w:ascii="Calibri" w:eastAsia="Calibri" w:hAnsi="Calibri" w:cs="Calibri"/>
          <w:sz w:val="24"/>
          <w:szCs w:val="22"/>
        </w:rPr>
        <w:t xml:space="preserve"> retrospectively</w:t>
      </w:r>
      <w:r w:rsidR="00264498">
        <w:rPr>
          <w:rFonts w:ascii="Calibri" w:eastAsia="Calibri" w:hAnsi="Calibri" w:cs="Calibri"/>
          <w:sz w:val="24"/>
          <w:szCs w:val="22"/>
        </w:rPr>
        <w:t>.</w:t>
      </w:r>
      <w:r w:rsidR="003B192B">
        <w:rPr>
          <w:rFonts w:ascii="Calibri" w:eastAsia="Calibri" w:hAnsi="Calibri" w:cs="Calibri"/>
          <w:sz w:val="24"/>
          <w:szCs w:val="22"/>
        </w:rPr>
        <w:t xml:space="preserve"> </w:t>
      </w:r>
      <w:r w:rsidR="00A25F64" w:rsidRPr="00205CAF">
        <w:rPr>
          <w:rFonts w:ascii="Calibri" w:eastAsia="Calibri" w:hAnsi="Calibri" w:cs="Calibri"/>
          <w:sz w:val="24"/>
          <w:szCs w:val="22"/>
        </w:rPr>
        <w:t>Additionally, the sample</w:t>
      </w:r>
      <w:r w:rsidR="00A25F64">
        <w:rPr>
          <w:rFonts w:ascii="Calibri" w:eastAsia="Calibri" w:hAnsi="Calibri" w:cs="Calibri"/>
          <w:sz w:val="24"/>
          <w:szCs w:val="22"/>
        </w:rPr>
        <w:t xml:space="preserve"> </w:t>
      </w:r>
      <w:r w:rsidR="005D59C8">
        <w:rPr>
          <w:rFonts w:ascii="Calibri" w:eastAsia="Calibri" w:hAnsi="Calibri" w:cs="Calibri"/>
          <w:sz w:val="24"/>
          <w:szCs w:val="22"/>
        </w:rPr>
        <w:t>consisted of</w:t>
      </w:r>
      <w:r w:rsidR="00A25F64">
        <w:rPr>
          <w:rFonts w:ascii="Calibri" w:eastAsia="Calibri" w:hAnsi="Calibri" w:cs="Calibri"/>
          <w:sz w:val="24"/>
          <w:szCs w:val="22"/>
        </w:rPr>
        <w:t xml:space="preserve"> female</w:t>
      </w:r>
      <w:r w:rsidR="00085CCC">
        <w:rPr>
          <w:rFonts w:ascii="Calibri" w:eastAsia="Calibri" w:hAnsi="Calibri" w:cs="Calibri"/>
          <w:sz w:val="24"/>
          <w:szCs w:val="22"/>
        </w:rPr>
        <w:t xml:space="preserve"> registered nurses</w:t>
      </w:r>
      <w:r w:rsidR="00A25F64">
        <w:rPr>
          <w:rFonts w:ascii="Calibri" w:eastAsia="Calibri" w:hAnsi="Calibri" w:cs="Calibri"/>
          <w:sz w:val="24"/>
          <w:szCs w:val="22"/>
        </w:rPr>
        <w:t xml:space="preserve"> and</w:t>
      </w:r>
      <w:r w:rsidR="00A25F64" w:rsidRPr="00205CAF">
        <w:rPr>
          <w:rFonts w:ascii="Calibri" w:eastAsia="Calibri" w:hAnsi="Calibri" w:cs="Calibri"/>
          <w:sz w:val="24"/>
          <w:szCs w:val="22"/>
        </w:rPr>
        <w:t xml:space="preserve"> may not be generalisable to more diverse populations.</w:t>
      </w:r>
      <w:r w:rsidR="00A25F64">
        <w:rPr>
          <w:rFonts w:ascii="Calibri" w:eastAsia="Calibri" w:hAnsi="Calibri" w:cs="Calibri"/>
          <w:sz w:val="24"/>
          <w:szCs w:val="22"/>
        </w:rPr>
        <w:t xml:space="preserve"> </w:t>
      </w:r>
      <w:r w:rsidR="00EF0DAB">
        <w:rPr>
          <w:rFonts w:ascii="Calibri" w:eastAsia="Calibri" w:hAnsi="Calibri" w:cs="Calibri"/>
          <w:sz w:val="24"/>
          <w:szCs w:val="22"/>
        </w:rPr>
        <w:t xml:space="preserve">These </w:t>
      </w:r>
      <w:r w:rsidR="00870E33">
        <w:rPr>
          <w:rFonts w:ascii="Calibri" w:eastAsia="Calibri" w:hAnsi="Calibri" w:cs="Calibri"/>
          <w:sz w:val="24"/>
          <w:szCs w:val="22"/>
        </w:rPr>
        <w:t>limitations may have introduced recall bias, misclassification bias, and selection bias</w:t>
      </w:r>
      <w:r w:rsidR="00241136">
        <w:rPr>
          <w:rFonts w:ascii="Calibri" w:eastAsia="Calibri" w:hAnsi="Calibri" w:cs="Calibri"/>
          <w:sz w:val="24"/>
          <w:szCs w:val="22"/>
        </w:rPr>
        <w:t>, potentially reducing the validity of the findings</w:t>
      </w:r>
      <w:r w:rsidR="007A3055">
        <w:rPr>
          <w:rFonts w:ascii="Calibri" w:eastAsia="Calibri" w:hAnsi="Calibri" w:cs="Calibri"/>
          <w:sz w:val="24"/>
          <w:szCs w:val="22"/>
        </w:rPr>
        <w:t xml:space="preserve">. </w:t>
      </w:r>
      <w:r w:rsidRPr="00205CAF">
        <w:rPr>
          <w:rFonts w:ascii="Calibri" w:eastAsia="Calibri" w:hAnsi="Calibri" w:cs="Calibri"/>
          <w:sz w:val="24"/>
          <w:szCs w:val="22"/>
        </w:rPr>
        <w:t xml:space="preserve"> </w:t>
      </w:r>
    </w:p>
    <w:p w14:paraId="149C7F61" w14:textId="77777777" w:rsidR="00205CAF" w:rsidRPr="00205CAF" w:rsidRDefault="00205CAF" w:rsidP="00205CAF">
      <w:pPr>
        <w:ind w:left="720"/>
        <w:rPr>
          <w:rFonts w:ascii="Calibri" w:eastAsia="Calibri" w:hAnsi="Calibri" w:cs="Calibri"/>
          <w:sz w:val="24"/>
          <w:szCs w:val="22"/>
        </w:rPr>
      </w:pPr>
    </w:p>
    <w:p w14:paraId="7BD39BE7" w14:textId="5D146E9A" w:rsidR="00205CAF" w:rsidRDefault="00213DC3" w:rsidP="00D15486">
      <w:pPr>
        <w:numPr>
          <w:ilvl w:val="0"/>
          <w:numId w:val="21"/>
        </w:numPr>
        <w:rPr>
          <w:rFonts w:ascii="Calibri" w:eastAsia="Calibri" w:hAnsi="Calibri" w:cs="Calibri"/>
          <w:sz w:val="24"/>
          <w:szCs w:val="22"/>
        </w:rPr>
      </w:pPr>
      <w:r>
        <w:rPr>
          <w:rFonts w:ascii="Calibri" w:eastAsia="Calibri" w:hAnsi="Calibri" w:cs="Calibri"/>
          <w:sz w:val="24"/>
          <w:szCs w:val="22"/>
        </w:rPr>
        <w:t>The</w:t>
      </w:r>
      <w:r w:rsidR="00205CAF" w:rsidRPr="00F357D6">
        <w:rPr>
          <w:rFonts w:ascii="Calibri" w:eastAsia="Calibri" w:hAnsi="Calibri" w:cs="Calibri"/>
          <w:sz w:val="24"/>
          <w:szCs w:val="22"/>
        </w:rPr>
        <w:t xml:space="preserve"> retrospective cohort study</w:t>
      </w:r>
      <w:r w:rsidR="00542CC4">
        <w:rPr>
          <w:rFonts w:ascii="Calibri" w:eastAsia="Calibri" w:hAnsi="Calibri" w:cs="Calibri"/>
          <w:sz w:val="24"/>
          <w:szCs w:val="22"/>
        </w:rPr>
        <w:t xml:space="preserve"> by</w:t>
      </w:r>
      <w:r w:rsidR="00205CAF" w:rsidRPr="00F357D6">
        <w:rPr>
          <w:rFonts w:ascii="Calibri" w:eastAsia="Calibri" w:hAnsi="Calibri" w:cs="Calibri"/>
          <w:sz w:val="24"/>
          <w:szCs w:val="22"/>
        </w:rPr>
        <w:t xml:space="preserve"> O’Donovan et al. </w:t>
      </w:r>
      <w:r w:rsidR="007827BC" w:rsidRPr="00F357D6">
        <w:rPr>
          <w:rFonts w:ascii="Calibri" w:eastAsia="Calibri" w:hAnsi="Calibri" w:cs="Calibri"/>
          <w:sz w:val="24"/>
          <w:szCs w:val="22"/>
        </w:rPr>
        <w:t>(</w:t>
      </w:r>
      <w:r w:rsidR="00205CAF" w:rsidRPr="00F357D6">
        <w:rPr>
          <w:rFonts w:ascii="Calibri" w:eastAsia="Calibri" w:hAnsi="Calibri" w:cs="Calibri"/>
          <w:sz w:val="24"/>
          <w:szCs w:val="22"/>
        </w:rPr>
        <w:t>2015</w:t>
      </w:r>
      <w:r w:rsidR="007827BC" w:rsidRPr="00F357D6">
        <w:rPr>
          <w:rFonts w:ascii="Calibri" w:eastAsia="Calibri" w:hAnsi="Calibri" w:cs="Calibri"/>
          <w:sz w:val="24"/>
          <w:szCs w:val="22"/>
        </w:rPr>
        <w:t>)</w:t>
      </w:r>
      <w:r w:rsidR="00205CAF" w:rsidRPr="00F357D6">
        <w:rPr>
          <w:rFonts w:ascii="Calibri" w:eastAsia="Calibri" w:hAnsi="Calibri" w:cs="Calibri"/>
          <w:sz w:val="24"/>
          <w:szCs w:val="22"/>
        </w:rPr>
        <w:t xml:space="preserve"> [RMA ID 102934] examined the association between posttraumatic stress disorder, other psychiatric disorders, and the risk of autoimmune disorders in a cohort of 666,269 Iraq and Afghanistan veterans under age 55. </w:t>
      </w:r>
    </w:p>
    <w:p w14:paraId="675280D7" w14:textId="77777777" w:rsidR="005B2267" w:rsidRPr="00F357D6" w:rsidRDefault="005B2267" w:rsidP="005B2267">
      <w:pPr>
        <w:rPr>
          <w:rFonts w:ascii="Calibri" w:eastAsia="Calibri" w:hAnsi="Calibri" w:cs="Calibri"/>
          <w:sz w:val="24"/>
          <w:szCs w:val="22"/>
        </w:rPr>
      </w:pPr>
    </w:p>
    <w:p w14:paraId="3855B202" w14:textId="65D63904" w:rsidR="00205CAF" w:rsidRDefault="00767A6A" w:rsidP="00816435">
      <w:pPr>
        <w:numPr>
          <w:ilvl w:val="0"/>
          <w:numId w:val="21"/>
        </w:numPr>
        <w:rPr>
          <w:rFonts w:ascii="Calibri" w:eastAsia="Calibri" w:hAnsi="Calibri" w:cs="Calibri"/>
          <w:sz w:val="24"/>
          <w:szCs w:val="22"/>
        </w:rPr>
      </w:pPr>
      <w:r w:rsidRPr="002F187A">
        <w:rPr>
          <w:rFonts w:ascii="Calibri" w:eastAsia="Calibri" w:hAnsi="Calibri" w:cs="Calibri"/>
          <w:sz w:val="24"/>
          <w:szCs w:val="22"/>
        </w:rPr>
        <w:t>O’Donovan et al. (2015) [RMA ID 102934] reported that w</w:t>
      </w:r>
      <w:r w:rsidR="00205CAF" w:rsidRPr="002F187A">
        <w:rPr>
          <w:rFonts w:ascii="Calibri" w:eastAsia="Calibri" w:hAnsi="Calibri" w:cs="Calibri"/>
          <w:sz w:val="24"/>
          <w:szCs w:val="22"/>
        </w:rPr>
        <w:t xml:space="preserve">ithin the sample of 666,269 veterans, 9743 (1.5%) received a diagnosis of an autoimmune diagnosis at two or more separate Department of Veterans Affairs clinical encounters: 6963 (1.0%) with thyroiditis. </w:t>
      </w:r>
      <w:r w:rsidRPr="002F187A">
        <w:rPr>
          <w:rFonts w:ascii="Calibri" w:eastAsia="Calibri" w:hAnsi="Calibri" w:cs="Calibri"/>
          <w:sz w:val="24"/>
          <w:szCs w:val="22"/>
        </w:rPr>
        <w:t>The study identified</w:t>
      </w:r>
      <w:r w:rsidR="00205CAF" w:rsidRPr="002F187A">
        <w:rPr>
          <w:rFonts w:ascii="Calibri" w:eastAsia="Calibri" w:hAnsi="Calibri" w:cs="Calibri"/>
          <w:sz w:val="24"/>
          <w:szCs w:val="22"/>
        </w:rPr>
        <w:t xml:space="preserve"> that </w:t>
      </w:r>
      <w:r w:rsidRPr="002F187A">
        <w:rPr>
          <w:rFonts w:ascii="Calibri" w:eastAsia="Calibri" w:hAnsi="Calibri" w:cs="Calibri"/>
          <w:sz w:val="24"/>
          <w:szCs w:val="22"/>
        </w:rPr>
        <w:t>V</w:t>
      </w:r>
      <w:r w:rsidR="00205CAF" w:rsidRPr="002F187A">
        <w:rPr>
          <w:rFonts w:ascii="Calibri" w:eastAsia="Calibri" w:hAnsi="Calibri" w:cs="Calibri"/>
          <w:sz w:val="24"/>
          <w:szCs w:val="22"/>
        </w:rPr>
        <w:t xml:space="preserve">eterans with posttraumatic stress disorder had a significantly higher adjusted relative risk (ARR) for thyroiditis compared to </w:t>
      </w:r>
      <w:r w:rsidRPr="002F187A">
        <w:rPr>
          <w:rFonts w:ascii="Calibri" w:eastAsia="Calibri" w:hAnsi="Calibri" w:cs="Calibri"/>
          <w:sz w:val="24"/>
          <w:szCs w:val="22"/>
        </w:rPr>
        <w:t>V</w:t>
      </w:r>
      <w:r w:rsidR="00205CAF" w:rsidRPr="002F187A">
        <w:rPr>
          <w:rFonts w:ascii="Calibri" w:eastAsia="Calibri" w:hAnsi="Calibri" w:cs="Calibri"/>
          <w:sz w:val="24"/>
          <w:szCs w:val="22"/>
        </w:rPr>
        <w:t>eterans with no psychiatric diagnoses</w:t>
      </w:r>
      <w:r w:rsidR="00AF19A0" w:rsidRPr="002F187A">
        <w:rPr>
          <w:rFonts w:ascii="Calibri" w:eastAsia="Calibri" w:hAnsi="Calibri" w:cs="Calibri"/>
          <w:sz w:val="24"/>
          <w:szCs w:val="22"/>
        </w:rPr>
        <w:t xml:space="preserve"> (</w:t>
      </w:r>
      <w:r w:rsidR="00205CAF" w:rsidRPr="002F187A">
        <w:rPr>
          <w:rFonts w:ascii="Calibri" w:eastAsia="Calibri" w:hAnsi="Calibri" w:cs="Calibri"/>
          <w:sz w:val="24"/>
          <w:szCs w:val="22"/>
        </w:rPr>
        <w:t>ARR = 2.17</w:t>
      </w:r>
      <w:r w:rsidR="00AF19A0" w:rsidRPr="002F187A">
        <w:rPr>
          <w:rFonts w:ascii="Calibri" w:eastAsia="Calibri" w:hAnsi="Calibri" w:cs="Calibri"/>
          <w:sz w:val="24"/>
          <w:szCs w:val="22"/>
        </w:rPr>
        <w:t xml:space="preserve">, </w:t>
      </w:r>
      <w:r w:rsidR="00205CAF" w:rsidRPr="002F187A">
        <w:rPr>
          <w:rFonts w:ascii="Calibri" w:eastAsia="Calibri" w:hAnsi="Calibri" w:cs="Calibri"/>
          <w:sz w:val="24"/>
          <w:szCs w:val="22"/>
        </w:rPr>
        <w:t>95% CI</w:t>
      </w:r>
      <w:r w:rsidR="00AF19A0" w:rsidRPr="002F187A">
        <w:rPr>
          <w:rFonts w:ascii="Calibri" w:eastAsia="Calibri" w:hAnsi="Calibri" w:cs="Calibri"/>
          <w:sz w:val="24"/>
          <w:szCs w:val="22"/>
        </w:rPr>
        <w:t xml:space="preserve"> [</w:t>
      </w:r>
      <w:r w:rsidR="00205CAF" w:rsidRPr="002F187A">
        <w:rPr>
          <w:rFonts w:ascii="Calibri" w:eastAsia="Calibri" w:hAnsi="Calibri" w:cs="Calibri"/>
          <w:sz w:val="24"/>
          <w:szCs w:val="22"/>
        </w:rPr>
        <w:t>2.06</w:t>
      </w:r>
      <w:r w:rsidR="0051635D" w:rsidRPr="002F187A">
        <w:rPr>
          <w:rFonts w:ascii="Calibri" w:eastAsia="Calibri" w:hAnsi="Calibri" w:cs="Calibri"/>
          <w:sz w:val="24"/>
          <w:szCs w:val="22"/>
        </w:rPr>
        <w:t>,</w:t>
      </w:r>
      <w:r w:rsidR="00205CAF" w:rsidRPr="002F187A">
        <w:rPr>
          <w:rFonts w:ascii="Calibri" w:eastAsia="Calibri" w:hAnsi="Calibri" w:cs="Calibri"/>
          <w:sz w:val="24"/>
          <w:szCs w:val="22"/>
        </w:rPr>
        <w:t>2.29</w:t>
      </w:r>
      <w:r w:rsidR="00AF19A0" w:rsidRPr="002F187A">
        <w:rPr>
          <w:rFonts w:ascii="Calibri" w:eastAsia="Calibri" w:hAnsi="Calibri" w:cs="Calibri"/>
          <w:sz w:val="24"/>
          <w:szCs w:val="22"/>
        </w:rPr>
        <w:t>]</w:t>
      </w:r>
      <w:r w:rsidR="00205CAF" w:rsidRPr="002F187A">
        <w:rPr>
          <w:rFonts w:ascii="Calibri" w:eastAsia="Calibri" w:hAnsi="Calibri" w:cs="Calibri"/>
          <w:sz w:val="24"/>
          <w:szCs w:val="22"/>
        </w:rPr>
        <w:t>)</w:t>
      </w:r>
      <w:r w:rsidR="007A3055" w:rsidRPr="002F187A">
        <w:rPr>
          <w:rFonts w:ascii="Calibri" w:eastAsia="Calibri" w:hAnsi="Calibri" w:cs="Calibri"/>
          <w:sz w:val="24"/>
          <w:szCs w:val="22"/>
        </w:rPr>
        <w:t xml:space="preserve">. </w:t>
      </w:r>
    </w:p>
    <w:p w14:paraId="10E14D03" w14:textId="77777777" w:rsidR="002F187A" w:rsidRPr="002F187A" w:rsidRDefault="002F187A" w:rsidP="002F187A">
      <w:pPr>
        <w:rPr>
          <w:rFonts w:ascii="Calibri" w:eastAsia="Calibri" w:hAnsi="Calibri" w:cs="Calibri"/>
          <w:sz w:val="24"/>
          <w:szCs w:val="22"/>
        </w:rPr>
      </w:pPr>
    </w:p>
    <w:p w14:paraId="2558BDEB" w14:textId="7EAC46A4" w:rsidR="00932184" w:rsidRDefault="00F20D94" w:rsidP="00932184">
      <w:pPr>
        <w:pStyle w:val="ListParagraph"/>
        <w:numPr>
          <w:ilvl w:val="0"/>
          <w:numId w:val="21"/>
        </w:numPr>
        <w:rPr>
          <w:rFonts w:ascii="Calibri" w:eastAsia="Calibri" w:hAnsi="Calibri" w:cs="Calibri"/>
          <w:sz w:val="24"/>
          <w:szCs w:val="22"/>
        </w:rPr>
      </w:pPr>
      <w:r>
        <w:rPr>
          <w:rFonts w:ascii="Calibri" w:eastAsia="Calibri" w:hAnsi="Calibri" w:cs="Calibri"/>
          <w:sz w:val="24"/>
          <w:szCs w:val="22"/>
        </w:rPr>
        <w:t xml:space="preserve">A limitation of the </w:t>
      </w:r>
      <w:r w:rsidR="005B2267">
        <w:rPr>
          <w:rFonts w:ascii="Calibri" w:eastAsia="Calibri" w:hAnsi="Calibri" w:cs="Calibri"/>
          <w:sz w:val="24"/>
          <w:szCs w:val="22"/>
        </w:rPr>
        <w:t>study</w:t>
      </w:r>
      <w:r w:rsidR="000D2F69">
        <w:rPr>
          <w:rFonts w:ascii="Calibri" w:eastAsia="Calibri" w:hAnsi="Calibri" w:cs="Calibri"/>
          <w:sz w:val="24"/>
          <w:szCs w:val="22"/>
        </w:rPr>
        <w:t xml:space="preserve"> by </w:t>
      </w:r>
      <w:r w:rsidR="000D2F69" w:rsidRPr="000D2F69">
        <w:rPr>
          <w:rFonts w:ascii="Calibri" w:eastAsia="Calibri" w:hAnsi="Calibri" w:cs="Calibri"/>
          <w:sz w:val="24"/>
          <w:szCs w:val="22"/>
        </w:rPr>
        <w:t xml:space="preserve">O’Donovan et al. (2015) [RMA ID 102934] </w:t>
      </w:r>
      <w:r w:rsidR="00935C30">
        <w:rPr>
          <w:rFonts w:ascii="Calibri" w:eastAsia="Calibri" w:hAnsi="Calibri" w:cs="Calibri"/>
          <w:sz w:val="24"/>
          <w:szCs w:val="22"/>
        </w:rPr>
        <w:t>is</w:t>
      </w:r>
      <w:r>
        <w:rPr>
          <w:rFonts w:ascii="Calibri" w:eastAsia="Calibri" w:hAnsi="Calibri" w:cs="Calibri"/>
          <w:sz w:val="24"/>
          <w:szCs w:val="22"/>
        </w:rPr>
        <w:t xml:space="preserve"> that it </w:t>
      </w:r>
      <w:r w:rsidR="005B2267">
        <w:rPr>
          <w:rFonts w:ascii="Calibri" w:eastAsia="Calibri" w:hAnsi="Calibri" w:cs="Calibri"/>
          <w:sz w:val="24"/>
          <w:szCs w:val="22"/>
        </w:rPr>
        <w:t xml:space="preserve">relied </w:t>
      </w:r>
      <w:r w:rsidR="00205CAF" w:rsidRPr="005B2267">
        <w:rPr>
          <w:rFonts w:ascii="Calibri" w:eastAsia="Calibri" w:hAnsi="Calibri" w:cs="Calibri"/>
          <w:sz w:val="24"/>
          <w:szCs w:val="22"/>
        </w:rPr>
        <w:t>on diagnostic</w:t>
      </w:r>
      <w:r w:rsidR="00642582">
        <w:rPr>
          <w:rFonts w:ascii="Calibri" w:eastAsia="Calibri" w:hAnsi="Calibri" w:cs="Calibri"/>
          <w:sz w:val="24"/>
          <w:szCs w:val="22"/>
        </w:rPr>
        <w:t xml:space="preserve"> codes</w:t>
      </w:r>
      <w:r w:rsidR="00205CAF" w:rsidRPr="005B2267">
        <w:rPr>
          <w:rFonts w:ascii="Calibri" w:eastAsia="Calibri" w:hAnsi="Calibri" w:cs="Calibri"/>
          <w:sz w:val="24"/>
          <w:szCs w:val="22"/>
        </w:rPr>
        <w:t xml:space="preserve"> </w:t>
      </w:r>
      <w:r w:rsidR="005B2267" w:rsidRPr="005B2267">
        <w:rPr>
          <w:rFonts w:ascii="Calibri" w:eastAsia="Calibri" w:hAnsi="Calibri" w:cs="Calibri"/>
          <w:sz w:val="24"/>
          <w:szCs w:val="22"/>
        </w:rPr>
        <w:t>from the Department of Veterans Affairs National Patient Care Database</w:t>
      </w:r>
      <w:r w:rsidR="00205CAF" w:rsidRPr="005B2267">
        <w:rPr>
          <w:rFonts w:ascii="Calibri" w:eastAsia="Calibri" w:hAnsi="Calibri" w:cs="Calibri"/>
          <w:sz w:val="24"/>
          <w:szCs w:val="22"/>
        </w:rPr>
        <w:t xml:space="preserve"> rather than clinical confirmation</w:t>
      </w:r>
      <w:r w:rsidR="00642582">
        <w:rPr>
          <w:rFonts w:ascii="Calibri" w:eastAsia="Calibri" w:hAnsi="Calibri" w:cs="Calibri"/>
          <w:sz w:val="24"/>
          <w:szCs w:val="22"/>
        </w:rPr>
        <w:t xml:space="preserve">. This </w:t>
      </w:r>
      <w:r w:rsidR="00205CAF" w:rsidRPr="005B2267">
        <w:rPr>
          <w:rFonts w:ascii="Calibri" w:eastAsia="Calibri" w:hAnsi="Calibri" w:cs="Calibri"/>
          <w:sz w:val="24"/>
          <w:szCs w:val="22"/>
        </w:rPr>
        <w:t>may have introduced misclassification errors</w:t>
      </w:r>
      <w:r w:rsidR="004F6D5E">
        <w:rPr>
          <w:rFonts w:ascii="Calibri" w:eastAsia="Calibri" w:hAnsi="Calibri" w:cs="Calibri"/>
          <w:sz w:val="24"/>
          <w:szCs w:val="22"/>
        </w:rPr>
        <w:t>, potentially reducing the validity of the findings</w:t>
      </w:r>
      <w:r w:rsidR="00205CAF" w:rsidRPr="005B2267">
        <w:rPr>
          <w:rFonts w:ascii="Calibri" w:eastAsia="Calibri" w:hAnsi="Calibri" w:cs="Calibri"/>
          <w:sz w:val="24"/>
          <w:szCs w:val="22"/>
        </w:rPr>
        <w:t xml:space="preserve">. </w:t>
      </w:r>
      <w:r w:rsidR="0072178A">
        <w:rPr>
          <w:rFonts w:ascii="Calibri" w:eastAsia="Calibri" w:hAnsi="Calibri" w:cs="Calibri"/>
          <w:sz w:val="24"/>
          <w:szCs w:val="22"/>
        </w:rPr>
        <w:t xml:space="preserve">Another limitation of this study was </w:t>
      </w:r>
      <w:r w:rsidR="0051319C">
        <w:rPr>
          <w:rFonts w:ascii="Calibri" w:eastAsia="Calibri" w:hAnsi="Calibri" w:cs="Calibri"/>
          <w:sz w:val="24"/>
          <w:szCs w:val="22"/>
        </w:rPr>
        <w:t>that</w:t>
      </w:r>
      <w:r w:rsidR="00205CAF" w:rsidRPr="005B2267">
        <w:rPr>
          <w:rFonts w:ascii="Calibri" w:eastAsia="Calibri" w:hAnsi="Calibri" w:cs="Calibri"/>
          <w:sz w:val="24"/>
          <w:szCs w:val="22"/>
        </w:rPr>
        <w:t xml:space="preserve"> diagnoses were made when the Department of Veterans Affairs providers first coded the condition using ICD-9-CM criteria, which may not correspond with the emergence of these conditions.</w:t>
      </w:r>
    </w:p>
    <w:p w14:paraId="587AA8C0" w14:textId="77777777" w:rsidR="00932184" w:rsidRPr="00932184" w:rsidRDefault="00932184" w:rsidP="00932184">
      <w:pPr>
        <w:pStyle w:val="ListParagraph"/>
        <w:rPr>
          <w:rFonts w:ascii="Calibri" w:eastAsia="Calibri" w:hAnsi="Calibri" w:cs="Calibri"/>
          <w:sz w:val="24"/>
          <w:szCs w:val="22"/>
        </w:rPr>
      </w:pPr>
    </w:p>
    <w:p w14:paraId="700F42FD" w14:textId="75911E6B" w:rsidR="00D8329C" w:rsidRPr="006A6CE6" w:rsidRDefault="005C3318" w:rsidP="006A6CE6">
      <w:pPr>
        <w:pStyle w:val="ListParagraph"/>
        <w:numPr>
          <w:ilvl w:val="0"/>
          <w:numId w:val="21"/>
        </w:numPr>
        <w:rPr>
          <w:rFonts w:ascii="Calibri" w:eastAsia="Calibri" w:hAnsi="Calibri" w:cs="Calibri"/>
          <w:sz w:val="24"/>
          <w:szCs w:val="22"/>
        </w:rPr>
      </w:pPr>
      <w:r>
        <w:rPr>
          <w:rFonts w:ascii="Calibri" w:eastAsia="Calibri" w:hAnsi="Calibri" w:cs="Calibri"/>
          <w:sz w:val="24"/>
          <w:szCs w:val="22"/>
        </w:rPr>
        <w:t xml:space="preserve">The Council identified a </w:t>
      </w:r>
      <w:r w:rsidDel="009A112E">
        <w:rPr>
          <w:rFonts w:ascii="Calibri" w:eastAsia="Calibri" w:hAnsi="Calibri" w:cs="Calibri"/>
          <w:sz w:val="24"/>
          <w:szCs w:val="22"/>
        </w:rPr>
        <w:t xml:space="preserve">third cohort study that investigated associations over time between </w:t>
      </w:r>
      <w:r w:rsidR="00645F6F" w:rsidDel="009A112E">
        <w:rPr>
          <w:rFonts w:ascii="Calibri" w:eastAsia="Calibri" w:hAnsi="Calibri" w:cs="Calibri"/>
          <w:sz w:val="24"/>
          <w:szCs w:val="22"/>
        </w:rPr>
        <w:t xml:space="preserve">autoimmune thyroid disease </w:t>
      </w:r>
      <w:r w:rsidR="00645F6F">
        <w:rPr>
          <w:rFonts w:ascii="Calibri" w:eastAsia="Calibri" w:hAnsi="Calibri" w:cs="Calibri"/>
          <w:sz w:val="24"/>
          <w:szCs w:val="22"/>
        </w:rPr>
        <w:t xml:space="preserve">and </w:t>
      </w:r>
      <w:r w:rsidDel="009A112E">
        <w:rPr>
          <w:rFonts w:ascii="Calibri" w:eastAsia="Calibri" w:hAnsi="Calibri" w:cs="Calibri"/>
          <w:sz w:val="24"/>
          <w:szCs w:val="22"/>
        </w:rPr>
        <w:t>stress-related disorders</w:t>
      </w:r>
      <w:r>
        <w:rPr>
          <w:rFonts w:ascii="Calibri" w:eastAsia="Calibri" w:hAnsi="Calibri" w:cs="Calibri"/>
          <w:sz w:val="24"/>
          <w:szCs w:val="22"/>
        </w:rPr>
        <w:t xml:space="preserve"> </w:t>
      </w:r>
      <w:r w:rsidDel="009A112E">
        <w:rPr>
          <w:rFonts w:ascii="Calibri" w:eastAsia="Calibri" w:hAnsi="Calibri" w:cs="Calibri"/>
          <w:sz w:val="24"/>
          <w:szCs w:val="22"/>
        </w:rPr>
        <w:t xml:space="preserve">(Song et al. (2018) [RMA ID </w:t>
      </w:r>
      <w:r w:rsidRPr="006D463C" w:rsidDel="009A112E">
        <w:rPr>
          <w:rFonts w:ascii="Calibri" w:eastAsia="Calibri" w:hAnsi="Calibri" w:cs="Calibri"/>
          <w:sz w:val="24"/>
          <w:szCs w:val="22"/>
        </w:rPr>
        <w:t>102816</w:t>
      </w:r>
      <w:r w:rsidDel="009A112E">
        <w:rPr>
          <w:rFonts w:ascii="Calibri" w:eastAsia="Calibri" w:hAnsi="Calibri" w:cs="Calibri"/>
          <w:sz w:val="24"/>
          <w:szCs w:val="22"/>
        </w:rPr>
        <w:t>])</w:t>
      </w:r>
      <w:r>
        <w:rPr>
          <w:rFonts w:ascii="Calibri" w:eastAsia="Calibri" w:hAnsi="Calibri" w:cs="Calibri"/>
          <w:sz w:val="24"/>
          <w:szCs w:val="22"/>
        </w:rPr>
        <w:t xml:space="preserve">. </w:t>
      </w:r>
      <w:r w:rsidR="00735979" w:rsidRPr="00922FA6">
        <w:rPr>
          <w:rFonts w:ascii="Calibri" w:eastAsia="Calibri" w:hAnsi="Calibri" w:cs="Calibri"/>
          <w:sz w:val="24"/>
          <w:szCs w:val="22"/>
        </w:rPr>
        <w:t xml:space="preserve">In </w:t>
      </w:r>
      <w:r w:rsidR="00CF32CB">
        <w:rPr>
          <w:rFonts w:ascii="Calibri" w:eastAsia="Calibri" w:hAnsi="Calibri" w:cs="Calibri"/>
          <w:sz w:val="24"/>
          <w:szCs w:val="22"/>
        </w:rPr>
        <w:t>this</w:t>
      </w:r>
      <w:r w:rsidR="00735979" w:rsidRPr="00922FA6">
        <w:rPr>
          <w:rFonts w:ascii="Calibri" w:eastAsia="Calibri" w:hAnsi="Calibri" w:cs="Calibri"/>
          <w:sz w:val="24"/>
          <w:szCs w:val="22"/>
        </w:rPr>
        <w:t xml:space="preserve"> study</w:t>
      </w:r>
      <w:r w:rsidR="00CF32CB">
        <w:rPr>
          <w:rFonts w:ascii="Calibri" w:eastAsia="Calibri" w:hAnsi="Calibri" w:cs="Calibri"/>
          <w:sz w:val="24"/>
          <w:szCs w:val="22"/>
        </w:rPr>
        <w:t>,</w:t>
      </w:r>
      <w:r w:rsidR="00735979" w:rsidRPr="00922FA6">
        <w:rPr>
          <w:rFonts w:ascii="Calibri" w:eastAsia="Calibri" w:hAnsi="Calibri" w:cs="Calibri"/>
          <w:sz w:val="24"/>
          <w:szCs w:val="22"/>
        </w:rPr>
        <w:t xml:space="preserve"> </w:t>
      </w:r>
      <w:r w:rsidR="00CF32CB">
        <w:rPr>
          <w:rFonts w:ascii="Calibri" w:eastAsia="Calibri" w:hAnsi="Calibri" w:cs="Calibri"/>
          <w:sz w:val="24"/>
          <w:szCs w:val="22"/>
        </w:rPr>
        <w:t>i</w:t>
      </w:r>
      <w:r w:rsidR="00735979" w:rsidRPr="00922FA6">
        <w:rPr>
          <w:rFonts w:ascii="Calibri" w:eastAsia="Calibri" w:hAnsi="Calibri" w:cs="Calibri"/>
          <w:sz w:val="24"/>
          <w:szCs w:val="22"/>
        </w:rPr>
        <w:t>t was not possible to distinguish posttraumatic stress disorder from other stress-related disorders in analyses with autoimmune</w:t>
      </w:r>
      <w:r w:rsidR="004C02BD">
        <w:rPr>
          <w:rFonts w:ascii="Calibri" w:eastAsia="Calibri" w:hAnsi="Calibri" w:cs="Calibri"/>
          <w:sz w:val="24"/>
          <w:szCs w:val="22"/>
        </w:rPr>
        <w:t xml:space="preserve"> thyroid</w:t>
      </w:r>
      <w:r w:rsidR="00735979" w:rsidRPr="00922FA6">
        <w:rPr>
          <w:rFonts w:ascii="Calibri" w:eastAsia="Calibri" w:hAnsi="Calibri" w:cs="Calibri"/>
          <w:sz w:val="24"/>
          <w:szCs w:val="22"/>
        </w:rPr>
        <w:t xml:space="preserve"> disease</w:t>
      </w:r>
      <w:r w:rsidR="007A3055">
        <w:rPr>
          <w:rFonts w:ascii="Calibri" w:eastAsia="Calibri" w:hAnsi="Calibri" w:cs="Calibri"/>
          <w:sz w:val="24"/>
          <w:szCs w:val="22"/>
        </w:rPr>
        <w:t xml:space="preserve">. </w:t>
      </w:r>
      <w:r w:rsidR="00505967">
        <w:rPr>
          <w:rFonts w:ascii="Calibri" w:eastAsia="Calibri" w:hAnsi="Calibri" w:cs="Calibri"/>
          <w:sz w:val="24"/>
          <w:szCs w:val="22"/>
        </w:rPr>
        <w:t xml:space="preserve">The study </w:t>
      </w:r>
      <w:r w:rsidR="00D96ABC" w:rsidRPr="00932184">
        <w:rPr>
          <w:rFonts w:ascii="Calibri" w:eastAsia="Calibri" w:hAnsi="Calibri" w:cs="Calibri"/>
          <w:sz w:val="24"/>
          <w:szCs w:val="22"/>
        </w:rPr>
        <w:t>cross-link</w:t>
      </w:r>
      <w:r w:rsidR="006345EC">
        <w:rPr>
          <w:rFonts w:ascii="Calibri" w:eastAsia="Calibri" w:hAnsi="Calibri" w:cs="Calibri"/>
          <w:sz w:val="24"/>
          <w:szCs w:val="22"/>
        </w:rPr>
        <w:t>ed</w:t>
      </w:r>
      <w:r w:rsidR="00D96ABC" w:rsidRPr="00932184">
        <w:rPr>
          <w:rFonts w:ascii="Calibri" w:eastAsia="Calibri" w:hAnsi="Calibri" w:cs="Calibri"/>
          <w:sz w:val="24"/>
          <w:szCs w:val="22"/>
        </w:rPr>
        <w:t xml:space="preserve"> </w:t>
      </w:r>
      <w:r w:rsidR="00CB223A" w:rsidRPr="00932184">
        <w:rPr>
          <w:rFonts w:ascii="Calibri" w:eastAsia="Calibri" w:hAnsi="Calibri" w:cs="Calibri"/>
          <w:sz w:val="24"/>
          <w:szCs w:val="22"/>
        </w:rPr>
        <w:t xml:space="preserve">census data </w:t>
      </w:r>
      <w:r w:rsidR="00175F04">
        <w:rPr>
          <w:rFonts w:ascii="Calibri" w:eastAsia="Calibri" w:hAnsi="Calibri" w:cs="Calibri"/>
          <w:sz w:val="24"/>
          <w:szCs w:val="22"/>
        </w:rPr>
        <w:t>with a national patient re</w:t>
      </w:r>
      <w:r w:rsidR="00053493">
        <w:rPr>
          <w:rFonts w:ascii="Calibri" w:eastAsia="Calibri" w:hAnsi="Calibri" w:cs="Calibri"/>
          <w:sz w:val="24"/>
          <w:szCs w:val="22"/>
        </w:rPr>
        <w:t>gister</w:t>
      </w:r>
      <w:r w:rsidR="003E00C4" w:rsidRPr="00932184">
        <w:rPr>
          <w:rFonts w:ascii="Calibri" w:eastAsia="Calibri" w:hAnsi="Calibri" w:cs="Calibri"/>
          <w:sz w:val="24"/>
          <w:szCs w:val="22"/>
        </w:rPr>
        <w:t xml:space="preserve">. </w:t>
      </w:r>
      <w:r w:rsidR="00B719E6" w:rsidRPr="0044440F">
        <w:rPr>
          <w:rFonts w:ascii="Calibri" w:eastAsia="Calibri" w:hAnsi="Calibri" w:cs="Calibri"/>
          <w:sz w:val="24"/>
          <w:szCs w:val="22"/>
        </w:rPr>
        <w:t>Among 7</w:t>
      </w:r>
      <w:r w:rsidR="006E1170">
        <w:rPr>
          <w:rFonts w:ascii="Calibri" w:eastAsia="Calibri" w:hAnsi="Calibri" w:cs="Calibri"/>
          <w:sz w:val="24"/>
          <w:szCs w:val="22"/>
        </w:rPr>
        <w:t>,</w:t>
      </w:r>
      <w:r w:rsidR="00B719E6" w:rsidRPr="0044440F">
        <w:rPr>
          <w:rFonts w:ascii="Calibri" w:eastAsia="Calibri" w:hAnsi="Calibri" w:cs="Calibri"/>
          <w:sz w:val="24"/>
          <w:szCs w:val="22"/>
        </w:rPr>
        <w:t>689</w:t>
      </w:r>
      <w:r w:rsidR="006E1170">
        <w:rPr>
          <w:rFonts w:ascii="Calibri" w:eastAsia="Calibri" w:hAnsi="Calibri" w:cs="Calibri"/>
          <w:sz w:val="24"/>
          <w:szCs w:val="22"/>
        </w:rPr>
        <w:t>,</w:t>
      </w:r>
      <w:r w:rsidR="00B719E6" w:rsidRPr="0044440F">
        <w:rPr>
          <w:rFonts w:ascii="Calibri" w:eastAsia="Calibri" w:hAnsi="Calibri" w:cs="Calibri"/>
          <w:sz w:val="24"/>
          <w:szCs w:val="22"/>
        </w:rPr>
        <w:t>628 Swedish-born individuals, t</w:t>
      </w:r>
      <w:r w:rsidR="00610DD4" w:rsidRPr="0044440F">
        <w:rPr>
          <w:rFonts w:ascii="Calibri" w:eastAsia="Calibri" w:hAnsi="Calibri" w:cs="Calibri"/>
          <w:sz w:val="24"/>
          <w:szCs w:val="22"/>
        </w:rPr>
        <w:t xml:space="preserve">he study </w:t>
      </w:r>
      <w:r w:rsidR="00B719E6" w:rsidRPr="0044440F">
        <w:rPr>
          <w:rFonts w:ascii="Calibri" w:eastAsia="Calibri" w:hAnsi="Calibri" w:cs="Calibri"/>
          <w:sz w:val="24"/>
          <w:szCs w:val="22"/>
        </w:rPr>
        <w:t>identified</w:t>
      </w:r>
      <w:r w:rsidR="00610DD4" w:rsidRPr="0044440F">
        <w:rPr>
          <w:rFonts w:ascii="Calibri" w:eastAsia="Calibri" w:hAnsi="Calibri" w:cs="Calibri"/>
          <w:sz w:val="24"/>
          <w:szCs w:val="22"/>
        </w:rPr>
        <w:t xml:space="preserve"> a total of 106,464 patients diagnosed with stress-related disorders</w:t>
      </w:r>
      <w:r w:rsidR="00661BB4">
        <w:rPr>
          <w:rFonts w:ascii="Calibri" w:eastAsia="Calibri" w:hAnsi="Calibri" w:cs="Calibri"/>
          <w:sz w:val="24"/>
          <w:szCs w:val="22"/>
        </w:rPr>
        <w:t xml:space="preserve"> and </w:t>
      </w:r>
      <w:r w:rsidR="0059772F" w:rsidRPr="0044440F">
        <w:rPr>
          <w:rFonts w:ascii="Calibri" w:eastAsia="Calibri" w:hAnsi="Calibri" w:cs="Calibri"/>
          <w:sz w:val="24"/>
          <w:szCs w:val="22"/>
        </w:rPr>
        <w:t>1,064,640 matched individuals without stress-related disorders</w:t>
      </w:r>
      <w:r w:rsidR="00610DD4" w:rsidRPr="0044440F">
        <w:rPr>
          <w:rFonts w:ascii="Calibri" w:eastAsia="Calibri" w:hAnsi="Calibri" w:cs="Calibri"/>
          <w:sz w:val="24"/>
          <w:szCs w:val="22"/>
        </w:rPr>
        <w:t xml:space="preserve">. </w:t>
      </w:r>
      <w:r w:rsidR="00467D08" w:rsidRPr="0044440F">
        <w:rPr>
          <w:rFonts w:ascii="Calibri" w:eastAsia="Calibri" w:hAnsi="Calibri" w:cs="Calibri"/>
          <w:sz w:val="24"/>
          <w:szCs w:val="22"/>
        </w:rPr>
        <w:t>The study identified 8,284 individuals with diagnosed autoimmune diseases among patients exposed to stress-related disorders</w:t>
      </w:r>
      <w:r w:rsidR="00BA1D6F" w:rsidRPr="0044440F">
        <w:rPr>
          <w:rFonts w:ascii="Calibri" w:eastAsia="Calibri" w:hAnsi="Calibri" w:cs="Calibri"/>
          <w:sz w:val="24"/>
          <w:szCs w:val="22"/>
        </w:rPr>
        <w:t>.</w:t>
      </w:r>
      <w:r w:rsidR="00467D08" w:rsidRPr="0044440F">
        <w:rPr>
          <w:rFonts w:ascii="Calibri" w:eastAsia="Calibri" w:hAnsi="Calibri" w:cs="Calibri"/>
          <w:sz w:val="24"/>
          <w:szCs w:val="22"/>
        </w:rPr>
        <w:t xml:space="preserve"> </w:t>
      </w:r>
      <w:r w:rsidR="00A302DF" w:rsidRPr="0044440F">
        <w:rPr>
          <w:rFonts w:ascii="Calibri" w:eastAsia="Calibri" w:hAnsi="Calibri" w:cs="Calibri"/>
          <w:sz w:val="24"/>
          <w:szCs w:val="22"/>
        </w:rPr>
        <w:t>Compared with the unexposed</w:t>
      </w:r>
      <w:r w:rsidR="00631BCE" w:rsidRPr="0044440F">
        <w:rPr>
          <w:rFonts w:ascii="Calibri" w:eastAsia="Calibri" w:hAnsi="Calibri" w:cs="Calibri"/>
          <w:sz w:val="24"/>
          <w:szCs w:val="22"/>
        </w:rPr>
        <w:t xml:space="preserve"> </w:t>
      </w:r>
      <w:r w:rsidR="00A302DF" w:rsidRPr="0044440F">
        <w:rPr>
          <w:rFonts w:ascii="Calibri" w:eastAsia="Calibri" w:hAnsi="Calibri" w:cs="Calibri"/>
          <w:sz w:val="24"/>
          <w:szCs w:val="22"/>
        </w:rPr>
        <w:t>population, patients with stress-related disorders were at increased risk of autoimmune disease (HR</w:t>
      </w:r>
      <w:r w:rsidR="008A6B40" w:rsidRPr="0044440F">
        <w:rPr>
          <w:rFonts w:ascii="Calibri" w:eastAsia="Calibri" w:hAnsi="Calibri" w:cs="Calibri"/>
          <w:sz w:val="24"/>
          <w:szCs w:val="22"/>
        </w:rPr>
        <w:t xml:space="preserve"> =</w:t>
      </w:r>
      <w:r w:rsidR="00A302DF" w:rsidRPr="0044440F">
        <w:rPr>
          <w:rFonts w:ascii="Calibri" w:eastAsia="Calibri" w:hAnsi="Calibri" w:cs="Calibri"/>
          <w:sz w:val="24"/>
          <w:szCs w:val="22"/>
        </w:rPr>
        <w:t xml:space="preserve"> 1.36</w:t>
      </w:r>
      <w:r w:rsidR="00CB3369">
        <w:rPr>
          <w:rFonts w:ascii="Calibri" w:eastAsia="Calibri" w:hAnsi="Calibri" w:cs="Calibri"/>
          <w:sz w:val="24"/>
          <w:szCs w:val="22"/>
        </w:rPr>
        <w:t>,</w:t>
      </w:r>
      <w:r w:rsidR="00A302DF" w:rsidRPr="0044440F">
        <w:rPr>
          <w:rFonts w:ascii="Calibri" w:eastAsia="Calibri" w:hAnsi="Calibri" w:cs="Calibri"/>
          <w:sz w:val="24"/>
          <w:szCs w:val="22"/>
        </w:rPr>
        <w:t xml:space="preserve"> </w:t>
      </w:r>
      <w:r w:rsidR="00A64337">
        <w:rPr>
          <w:rFonts w:ascii="Calibri" w:eastAsia="Calibri" w:hAnsi="Calibri" w:cs="Calibri"/>
          <w:sz w:val="24"/>
          <w:szCs w:val="22"/>
        </w:rPr>
        <w:t xml:space="preserve">95% CI </w:t>
      </w:r>
      <w:r w:rsidR="00A302DF" w:rsidRPr="0044440F">
        <w:rPr>
          <w:rFonts w:ascii="Calibri" w:eastAsia="Calibri" w:hAnsi="Calibri" w:cs="Calibri"/>
          <w:sz w:val="24"/>
          <w:szCs w:val="22"/>
        </w:rPr>
        <w:t>[1.33</w:t>
      </w:r>
      <w:r w:rsidR="0051635D">
        <w:rPr>
          <w:rFonts w:ascii="Calibri" w:eastAsia="Calibri" w:hAnsi="Calibri" w:cs="Calibri"/>
          <w:sz w:val="24"/>
          <w:szCs w:val="22"/>
        </w:rPr>
        <w:t>,</w:t>
      </w:r>
      <w:r w:rsidR="00A302DF" w:rsidRPr="0044440F">
        <w:rPr>
          <w:rFonts w:ascii="Calibri" w:eastAsia="Calibri" w:hAnsi="Calibri" w:cs="Calibri"/>
          <w:sz w:val="24"/>
          <w:szCs w:val="22"/>
        </w:rPr>
        <w:t>1.40</w:t>
      </w:r>
      <w:r w:rsidR="00DB64F8">
        <w:rPr>
          <w:rFonts w:ascii="Calibri" w:eastAsia="Calibri" w:hAnsi="Calibri" w:cs="Calibri"/>
          <w:sz w:val="24"/>
          <w:szCs w:val="22"/>
        </w:rPr>
        <w:t>]</w:t>
      </w:r>
      <w:r w:rsidR="00A302DF" w:rsidRPr="0044440F">
        <w:rPr>
          <w:rFonts w:ascii="Calibri" w:eastAsia="Calibri" w:hAnsi="Calibri" w:cs="Calibri"/>
          <w:sz w:val="24"/>
          <w:szCs w:val="22"/>
        </w:rPr>
        <w:t>).</w:t>
      </w:r>
      <w:r w:rsidR="00631BCE" w:rsidRPr="0044440F">
        <w:rPr>
          <w:rFonts w:ascii="Calibri" w:eastAsia="Calibri" w:hAnsi="Calibri" w:cs="Calibri"/>
          <w:sz w:val="24"/>
          <w:szCs w:val="22"/>
        </w:rPr>
        <w:t xml:space="preserve"> </w:t>
      </w:r>
      <w:r w:rsidR="006A6CE6" w:rsidRPr="0044440F">
        <w:rPr>
          <w:rFonts w:ascii="Calibri" w:eastAsia="Calibri" w:hAnsi="Calibri" w:cs="Calibri"/>
          <w:sz w:val="24"/>
          <w:szCs w:val="22"/>
        </w:rPr>
        <w:t xml:space="preserve">The risk for autoimmune thyroid disease was increased among </w:t>
      </w:r>
      <w:r w:rsidR="006A6CE6" w:rsidRPr="0044440F">
        <w:rPr>
          <w:rFonts w:ascii="Calibri" w:eastAsia="Calibri" w:hAnsi="Calibri" w:cs="Calibri"/>
          <w:sz w:val="24"/>
          <w:szCs w:val="22"/>
        </w:rPr>
        <w:lastRenderedPageBreak/>
        <w:t>patients with stress-related disorders,</w:t>
      </w:r>
      <w:r w:rsidR="00BC5014">
        <w:rPr>
          <w:rFonts w:ascii="Calibri" w:eastAsia="Calibri" w:hAnsi="Calibri" w:cs="Calibri"/>
          <w:sz w:val="24"/>
          <w:szCs w:val="22"/>
        </w:rPr>
        <w:t xml:space="preserve"> </w:t>
      </w:r>
      <w:r w:rsidR="006A6CE6" w:rsidRPr="0044440F">
        <w:rPr>
          <w:rFonts w:ascii="Calibri" w:eastAsia="Calibri" w:hAnsi="Calibri" w:cs="Calibri"/>
          <w:sz w:val="24"/>
          <w:szCs w:val="22"/>
        </w:rPr>
        <w:t>compared with matched unexposed individuals</w:t>
      </w:r>
      <w:r w:rsidR="00BC5014">
        <w:rPr>
          <w:rFonts w:ascii="Calibri" w:eastAsia="Calibri" w:hAnsi="Calibri" w:cs="Calibri"/>
          <w:sz w:val="24"/>
          <w:szCs w:val="22"/>
        </w:rPr>
        <w:t xml:space="preserve"> (</w:t>
      </w:r>
      <w:r w:rsidR="00BC5014" w:rsidRPr="0044440F">
        <w:rPr>
          <w:rFonts w:ascii="Calibri" w:eastAsia="Calibri" w:hAnsi="Calibri" w:cs="Calibri"/>
          <w:sz w:val="24"/>
          <w:szCs w:val="22"/>
        </w:rPr>
        <w:t>HR</w:t>
      </w:r>
      <w:r w:rsidR="00756B72">
        <w:rPr>
          <w:rFonts w:ascii="Calibri" w:eastAsia="Calibri" w:hAnsi="Calibri" w:cs="Calibri"/>
          <w:sz w:val="24"/>
          <w:szCs w:val="22"/>
        </w:rPr>
        <w:t xml:space="preserve"> </w:t>
      </w:r>
      <w:r w:rsidR="00BC5014" w:rsidRPr="0044440F">
        <w:rPr>
          <w:rFonts w:ascii="Calibri" w:eastAsia="Calibri" w:hAnsi="Calibri" w:cs="Calibri"/>
          <w:sz w:val="24"/>
          <w:szCs w:val="22"/>
        </w:rPr>
        <w:t>=</w:t>
      </w:r>
      <w:r w:rsidR="00756B72">
        <w:rPr>
          <w:rFonts w:ascii="Calibri" w:eastAsia="Calibri" w:hAnsi="Calibri" w:cs="Calibri"/>
          <w:sz w:val="24"/>
          <w:szCs w:val="22"/>
        </w:rPr>
        <w:t xml:space="preserve"> </w:t>
      </w:r>
      <w:r w:rsidR="00BC5014" w:rsidRPr="0044440F">
        <w:rPr>
          <w:rFonts w:ascii="Calibri" w:eastAsia="Calibri" w:hAnsi="Calibri" w:cs="Calibri"/>
          <w:sz w:val="24"/>
          <w:szCs w:val="22"/>
        </w:rPr>
        <w:t>1.49</w:t>
      </w:r>
      <w:r w:rsidR="00BC5014">
        <w:rPr>
          <w:rFonts w:ascii="Calibri" w:eastAsia="Calibri" w:hAnsi="Calibri" w:cs="Calibri"/>
          <w:sz w:val="24"/>
          <w:szCs w:val="22"/>
        </w:rPr>
        <w:t>,</w:t>
      </w:r>
      <w:r w:rsidR="00BC5014" w:rsidRPr="0044440F">
        <w:rPr>
          <w:rFonts w:ascii="Calibri" w:eastAsia="Calibri" w:hAnsi="Calibri" w:cs="Calibri"/>
          <w:sz w:val="24"/>
          <w:szCs w:val="22"/>
        </w:rPr>
        <w:t xml:space="preserve"> </w:t>
      </w:r>
      <w:r w:rsidR="00BC5014">
        <w:rPr>
          <w:rFonts w:ascii="Calibri" w:eastAsia="Calibri" w:hAnsi="Calibri" w:cs="Calibri"/>
          <w:sz w:val="24"/>
          <w:szCs w:val="22"/>
        </w:rPr>
        <w:t>95% CI [</w:t>
      </w:r>
      <w:r w:rsidR="00BC5014" w:rsidRPr="0044440F">
        <w:rPr>
          <w:rFonts w:ascii="Calibri" w:eastAsia="Calibri" w:hAnsi="Calibri" w:cs="Calibri"/>
          <w:sz w:val="24"/>
          <w:szCs w:val="22"/>
        </w:rPr>
        <w:t>1.42,1.56</w:t>
      </w:r>
      <w:r w:rsidR="00BC5014">
        <w:rPr>
          <w:rFonts w:ascii="Calibri" w:eastAsia="Calibri" w:hAnsi="Calibri" w:cs="Calibri"/>
          <w:sz w:val="24"/>
          <w:szCs w:val="22"/>
        </w:rPr>
        <w:t>]</w:t>
      </w:r>
      <w:r w:rsidR="00BC5014" w:rsidRPr="0044440F">
        <w:rPr>
          <w:rFonts w:ascii="Calibri" w:eastAsia="Calibri" w:hAnsi="Calibri" w:cs="Calibri"/>
          <w:sz w:val="24"/>
          <w:szCs w:val="22"/>
        </w:rPr>
        <w:t>)</w:t>
      </w:r>
      <w:r w:rsidR="006A6CE6" w:rsidRPr="0044440F">
        <w:rPr>
          <w:rFonts w:ascii="Calibri" w:eastAsia="Calibri" w:hAnsi="Calibri" w:cs="Calibri"/>
          <w:sz w:val="24"/>
          <w:szCs w:val="22"/>
        </w:rPr>
        <w:t xml:space="preserve">. </w:t>
      </w:r>
    </w:p>
    <w:p w14:paraId="0DB54949" w14:textId="77777777" w:rsidR="000550B4" w:rsidRPr="00922FA6" w:rsidRDefault="000550B4" w:rsidP="000550B4">
      <w:pPr>
        <w:rPr>
          <w:rFonts w:ascii="Calibri" w:eastAsia="Calibri" w:hAnsi="Calibri" w:cs="Calibri"/>
          <w:sz w:val="24"/>
          <w:szCs w:val="22"/>
        </w:rPr>
      </w:pPr>
    </w:p>
    <w:p w14:paraId="37644577" w14:textId="1B4B508A" w:rsidR="00AC25EB" w:rsidRPr="00922FA6" w:rsidRDefault="00600770" w:rsidP="00CE39FC">
      <w:pPr>
        <w:numPr>
          <w:ilvl w:val="0"/>
          <w:numId w:val="21"/>
        </w:numPr>
        <w:rPr>
          <w:rFonts w:ascii="Calibri" w:eastAsia="Calibri" w:hAnsi="Calibri" w:cs="Calibri"/>
          <w:sz w:val="24"/>
          <w:szCs w:val="22"/>
        </w:rPr>
      </w:pPr>
      <w:r w:rsidRPr="00922FA6">
        <w:rPr>
          <w:rFonts w:ascii="Calibri" w:eastAsia="Calibri" w:hAnsi="Calibri" w:cs="Calibri"/>
          <w:sz w:val="24"/>
          <w:szCs w:val="22"/>
        </w:rPr>
        <w:t xml:space="preserve">The </w:t>
      </w:r>
      <w:r w:rsidR="00BB0845">
        <w:rPr>
          <w:rFonts w:ascii="Calibri" w:eastAsia="Calibri" w:hAnsi="Calibri" w:cs="Calibri"/>
          <w:sz w:val="24"/>
          <w:szCs w:val="22"/>
        </w:rPr>
        <w:t xml:space="preserve">Council identified </w:t>
      </w:r>
      <w:r w:rsidRPr="00922FA6">
        <w:rPr>
          <w:rFonts w:ascii="Calibri" w:eastAsia="Calibri" w:hAnsi="Calibri" w:cs="Calibri"/>
          <w:sz w:val="24"/>
          <w:szCs w:val="22"/>
        </w:rPr>
        <w:t>other</w:t>
      </w:r>
      <w:r w:rsidR="0092707B" w:rsidRPr="00922FA6">
        <w:rPr>
          <w:rFonts w:ascii="Calibri" w:eastAsia="Calibri" w:hAnsi="Calibri" w:cs="Calibri"/>
          <w:sz w:val="24"/>
          <w:szCs w:val="22"/>
        </w:rPr>
        <w:t xml:space="preserve"> available evidence </w:t>
      </w:r>
      <w:r w:rsidRPr="00922FA6">
        <w:rPr>
          <w:rFonts w:ascii="Calibri" w:eastAsia="Calibri" w:hAnsi="Calibri" w:cs="Calibri"/>
          <w:sz w:val="24"/>
          <w:szCs w:val="22"/>
        </w:rPr>
        <w:t>on associations between hypothyro</w:t>
      </w:r>
      <w:r w:rsidR="000A5668" w:rsidRPr="00922FA6">
        <w:rPr>
          <w:rFonts w:ascii="Calibri" w:eastAsia="Calibri" w:hAnsi="Calibri" w:cs="Calibri"/>
          <w:sz w:val="24"/>
          <w:szCs w:val="22"/>
        </w:rPr>
        <w:t xml:space="preserve">idism and posttraumatic stress disorder </w:t>
      </w:r>
      <w:r w:rsidR="007C2640">
        <w:rPr>
          <w:rFonts w:ascii="Calibri" w:eastAsia="Calibri" w:hAnsi="Calibri" w:cs="Calibri"/>
          <w:sz w:val="24"/>
          <w:szCs w:val="22"/>
        </w:rPr>
        <w:t>involving</w:t>
      </w:r>
      <w:r w:rsidR="007C2640" w:rsidRPr="00922FA6">
        <w:rPr>
          <w:rFonts w:ascii="Calibri" w:eastAsia="Calibri" w:hAnsi="Calibri" w:cs="Calibri"/>
          <w:sz w:val="24"/>
          <w:szCs w:val="22"/>
        </w:rPr>
        <w:t xml:space="preserve"> </w:t>
      </w:r>
      <w:r w:rsidR="000A5668" w:rsidRPr="00922FA6">
        <w:rPr>
          <w:rFonts w:ascii="Calibri" w:eastAsia="Calibri" w:hAnsi="Calibri" w:cs="Calibri"/>
          <w:sz w:val="24"/>
          <w:szCs w:val="22"/>
        </w:rPr>
        <w:t xml:space="preserve">cross-sectional </w:t>
      </w:r>
      <w:r w:rsidR="00B2738D" w:rsidRPr="00922FA6">
        <w:rPr>
          <w:rFonts w:ascii="Calibri" w:eastAsia="Calibri" w:hAnsi="Calibri" w:cs="Calibri"/>
          <w:sz w:val="24"/>
          <w:szCs w:val="22"/>
        </w:rPr>
        <w:t>designs</w:t>
      </w:r>
      <w:r w:rsidR="00603BFB">
        <w:rPr>
          <w:rFonts w:ascii="Calibri" w:eastAsia="Calibri" w:hAnsi="Calibri" w:cs="Calibri"/>
          <w:sz w:val="24"/>
          <w:szCs w:val="22"/>
        </w:rPr>
        <w:t xml:space="preserve"> </w:t>
      </w:r>
      <w:r w:rsidR="007A0F87" w:rsidRPr="00922FA6">
        <w:rPr>
          <w:rFonts w:ascii="Calibri" w:eastAsia="Calibri" w:hAnsi="Calibri" w:cs="Calibri"/>
          <w:sz w:val="24"/>
          <w:szCs w:val="22"/>
        </w:rPr>
        <w:t>(</w:t>
      </w:r>
      <w:r w:rsidR="00727C7B" w:rsidRPr="00922FA6">
        <w:rPr>
          <w:rFonts w:ascii="Calibri" w:eastAsia="Calibri" w:hAnsi="Calibri" w:cs="Calibri"/>
          <w:sz w:val="24"/>
          <w:szCs w:val="22"/>
        </w:rPr>
        <w:t xml:space="preserve">Boscarino (2013) </w:t>
      </w:r>
      <w:r w:rsidR="00DD52F6" w:rsidRPr="00DD52F6">
        <w:rPr>
          <w:rFonts w:ascii="Calibri" w:eastAsia="Calibri" w:hAnsi="Calibri" w:cs="Calibri"/>
          <w:sz w:val="24"/>
          <w:szCs w:val="22"/>
        </w:rPr>
        <w:t>[RMA ID 49509]</w:t>
      </w:r>
      <w:r w:rsidR="00C45CF5">
        <w:rPr>
          <w:rFonts w:ascii="Calibri" w:eastAsia="Calibri" w:hAnsi="Calibri" w:cs="Calibri"/>
          <w:sz w:val="24"/>
          <w:szCs w:val="22"/>
        </w:rPr>
        <w:t>;</w:t>
      </w:r>
      <w:r w:rsidR="00DD52F6">
        <w:rPr>
          <w:rFonts w:ascii="Calibri" w:eastAsia="Calibri" w:hAnsi="Calibri" w:cs="Calibri"/>
          <w:sz w:val="24"/>
          <w:szCs w:val="22"/>
        </w:rPr>
        <w:t xml:space="preserve"> </w:t>
      </w:r>
      <w:r w:rsidR="007A0F87" w:rsidRPr="00922FA6">
        <w:rPr>
          <w:rFonts w:ascii="Calibri" w:eastAsia="Calibri" w:hAnsi="Calibri" w:cs="Calibri"/>
          <w:sz w:val="24"/>
          <w:szCs w:val="22"/>
        </w:rPr>
        <w:t>Vaja et al. (2013)</w:t>
      </w:r>
      <w:r w:rsidR="00CE297A">
        <w:rPr>
          <w:rFonts w:ascii="Calibri" w:eastAsia="Calibri" w:hAnsi="Calibri" w:cs="Calibri"/>
          <w:sz w:val="24"/>
          <w:szCs w:val="22"/>
        </w:rPr>
        <w:t xml:space="preserve"> </w:t>
      </w:r>
      <w:r w:rsidR="00CE297A" w:rsidRPr="00CE297A">
        <w:rPr>
          <w:rFonts w:ascii="Calibri" w:eastAsia="Calibri" w:hAnsi="Calibri" w:cs="Calibri"/>
          <w:sz w:val="24"/>
          <w:szCs w:val="22"/>
        </w:rPr>
        <w:t>[RMA ID 103393]</w:t>
      </w:r>
      <w:r w:rsidR="00AE34B5" w:rsidRPr="00922FA6">
        <w:rPr>
          <w:rFonts w:ascii="Calibri" w:eastAsia="Calibri" w:hAnsi="Calibri" w:cs="Calibri"/>
          <w:sz w:val="24"/>
          <w:szCs w:val="22"/>
        </w:rPr>
        <w:t>)</w:t>
      </w:r>
      <w:r w:rsidR="007A0F87" w:rsidRPr="00922FA6">
        <w:rPr>
          <w:rFonts w:ascii="Calibri" w:eastAsia="Calibri" w:hAnsi="Calibri" w:cs="Calibri"/>
          <w:sz w:val="24"/>
          <w:szCs w:val="22"/>
        </w:rPr>
        <w:t xml:space="preserve">. </w:t>
      </w:r>
      <w:r w:rsidR="00727C7B" w:rsidRPr="00922FA6">
        <w:rPr>
          <w:rFonts w:ascii="Calibri" w:eastAsia="Calibri" w:hAnsi="Calibri" w:cs="Calibri"/>
          <w:sz w:val="24"/>
          <w:szCs w:val="22"/>
        </w:rPr>
        <w:t xml:space="preserve">Boscarino (2013) </w:t>
      </w:r>
      <w:r w:rsidR="00CE297A" w:rsidRPr="00CE297A">
        <w:rPr>
          <w:rFonts w:ascii="Calibri" w:eastAsia="Calibri" w:hAnsi="Calibri" w:cs="Calibri"/>
          <w:sz w:val="24"/>
          <w:szCs w:val="22"/>
        </w:rPr>
        <w:t xml:space="preserve">[RMA ID 49509] </w:t>
      </w:r>
      <w:r w:rsidR="00727C7B" w:rsidRPr="00922FA6">
        <w:rPr>
          <w:rFonts w:ascii="Calibri" w:eastAsia="Calibri" w:hAnsi="Calibri" w:cs="Calibri"/>
          <w:sz w:val="24"/>
          <w:szCs w:val="22"/>
        </w:rPr>
        <w:t xml:space="preserve">reported an association between comorbid posttraumatic stress disorder and hypothyroidism (Adj OR </w:t>
      </w:r>
      <w:r w:rsidR="00B10C41">
        <w:rPr>
          <w:rFonts w:ascii="Calibri" w:eastAsia="Calibri" w:hAnsi="Calibri" w:cs="Calibri"/>
          <w:sz w:val="24"/>
          <w:szCs w:val="22"/>
        </w:rPr>
        <w:t xml:space="preserve">= </w:t>
      </w:r>
      <w:r w:rsidR="00727C7B" w:rsidRPr="00922FA6">
        <w:rPr>
          <w:rFonts w:ascii="Calibri" w:eastAsia="Calibri" w:hAnsi="Calibri" w:cs="Calibri"/>
          <w:sz w:val="24"/>
          <w:szCs w:val="22"/>
        </w:rPr>
        <w:t xml:space="preserve">8.5 </w:t>
      </w:r>
      <w:r w:rsidR="00B10C41">
        <w:rPr>
          <w:rFonts w:ascii="Calibri" w:eastAsia="Calibri" w:hAnsi="Calibri" w:cs="Calibri"/>
          <w:sz w:val="24"/>
          <w:szCs w:val="22"/>
        </w:rPr>
        <w:t>95%</w:t>
      </w:r>
      <w:r w:rsidR="00B470CF">
        <w:rPr>
          <w:rFonts w:ascii="Calibri" w:eastAsia="Calibri" w:hAnsi="Calibri" w:cs="Calibri"/>
          <w:sz w:val="24"/>
          <w:szCs w:val="22"/>
        </w:rPr>
        <w:t xml:space="preserve"> CI </w:t>
      </w:r>
      <w:r w:rsidR="00727C7B" w:rsidRPr="00922FA6">
        <w:rPr>
          <w:rFonts w:ascii="Calibri" w:eastAsia="Calibri" w:hAnsi="Calibri" w:cs="Calibri"/>
          <w:sz w:val="24"/>
          <w:szCs w:val="22"/>
        </w:rPr>
        <w:t>[1.9,37.9), based on three hypothyroidism cases</w:t>
      </w:r>
      <w:r w:rsidR="007A3055">
        <w:rPr>
          <w:rFonts w:ascii="Calibri" w:eastAsia="Calibri" w:hAnsi="Calibri" w:cs="Calibri"/>
          <w:sz w:val="24"/>
          <w:szCs w:val="22"/>
        </w:rPr>
        <w:t xml:space="preserve">. </w:t>
      </w:r>
      <w:r w:rsidR="0092707B" w:rsidRPr="00922FA6">
        <w:rPr>
          <w:rFonts w:ascii="Calibri" w:eastAsia="Calibri" w:hAnsi="Calibri" w:cs="Calibri"/>
          <w:sz w:val="24"/>
          <w:szCs w:val="22"/>
        </w:rPr>
        <w:t>V</w:t>
      </w:r>
      <w:r w:rsidR="003370FE" w:rsidRPr="00922FA6">
        <w:rPr>
          <w:rFonts w:ascii="Calibri" w:eastAsia="Calibri" w:hAnsi="Calibri" w:cs="Calibri"/>
          <w:sz w:val="24"/>
          <w:szCs w:val="22"/>
        </w:rPr>
        <w:t>aja et al</w:t>
      </w:r>
      <w:r w:rsidR="000224B2" w:rsidRPr="00922FA6">
        <w:rPr>
          <w:rFonts w:ascii="Calibri" w:eastAsia="Calibri" w:hAnsi="Calibri" w:cs="Calibri"/>
          <w:sz w:val="24"/>
          <w:szCs w:val="22"/>
        </w:rPr>
        <w:t>.</w:t>
      </w:r>
      <w:r w:rsidR="005528B4" w:rsidRPr="00922FA6">
        <w:rPr>
          <w:rFonts w:ascii="Calibri" w:eastAsia="Calibri" w:hAnsi="Calibri" w:cs="Calibri"/>
          <w:sz w:val="24"/>
          <w:szCs w:val="22"/>
        </w:rPr>
        <w:t xml:space="preserve"> (2013) </w:t>
      </w:r>
      <w:r w:rsidR="00CE297A" w:rsidRPr="00CE297A">
        <w:rPr>
          <w:rFonts w:ascii="Calibri" w:eastAsia="Calibri" w:hAnsi="Calibri" w:cs="Calibri"/>
          <w:sz w:val="24"/>
          <w:szCs w:val="22"/>
        </w:rPr>
        <w:t>[RMA ID 103393]</w:t>
      </w:r>
      <w:r w:rsidR="00CE297A">
        <w:rPr>
          <w:rFonts w:ascii="Calibri" w:eastAsia="Calibri" w:hAnsi="Calibri" w:cs="Calibri"/>
          <w:sz w:val="24"/>
          <w:szCs w:val="22"/>
        </w:rPr>
        <w:t xml:space="preserve"> </w:t>
      </w:r>
      <w:r w:rsidR="005528B4" w:rsidRPr="00922FA6">
        <w:rPr>
          <w:rFonts w:ascii="Calibri" w:eastAsia="Calibri" w:hAnsi="Calibri" w:cs="Calibri"/>
          <w:sz w:val="24"/>
          <w:szCs w:val="22"/>
        </w:rPr>
        <w:t>identified a higher prevalence of autoimmune hypothyroidism in people with posttraumatic stress disorder</w:t>
      </w:r>
      <w:r w:rsidR="003370FE" w:rsidRPr="00922FA6">
        <w:rPr>
          <w:rFonts w:ascii="Calibri" w:eastAsia="Calibri" w:hAnsi="Calibri" w:cs="Calibri"/>
          <w:sz w:val="24"/>
          <w:szCs w:val="22"/>
        </w:rPr>
        <w:t xml:space="preserve"> compared to population data. The prevalence of hypothyroidism (3.4%) in the </w:t>
      </w:r>
      <w:r w:rsidR="009147BC" w:rsidRPr="00922FA6">
        <w:rPr>
          <w:rFonts w:ascii="Calibri" w:eastAsia="Calibri" w:hAnsi="Calibri" w:cs="Calibri"/>
          <w:sz w:val="24"/>
          <w:szCs w:val="22"/>
        </w:rPr>
        <w:t>posttraumatic stress disorder</w:t>
      </w:r>
      <w:r w:rsidR="003370FE" w:rsidRPr="00922FA6">
        <w:rPr>
          <w:rFonts w:ascii="Calibri" w:eastAsia="Calibri" w:hAnsi="Calibri" w:cs="Calibri"/>
          <w:sz w:val="24"/>
          <w:szCs w:val="22"/>
        </w:rPr>
        <w:t xml:space="preserve"> subgroup was higher than the expected prevalence (0.3%). </w:t>
      </w:r>
    </w:p>
    <w:p w14:paraId="31165844" w14:textId="77777777" w:rsidR="004C731D" w:rsidRPr="00922FA6" w:rsidRDefault="004C731D" w:rsidP="004C731D">
      <w:pPr>
        <w:ind w:left="720"/>
        <w:rPr>
          <w:rFonts w:ascii="Calibri" w:eastAsia="Calibri" w:hAnsi="Calibri" w:cs="Calibri"/>
          <w:sz w:val="24"/>
          <w:szCs w:val="22"/>
        </w:rPr>
      </w:pPr>
    </w:p>
    <w:p w14:paraId="22DAD6D1" w14:textId="1CD638E3" w:rsidR="00D90353" w:rsidRPr="00871229" w:rsidRDefault="004C731D" w:rsidP="00D6551E">
      <w:pPr>
        <w:pStyle w:val="ListParagraph"/>
        <w:numPr>
          <w:ilvl w:val="0"/>
          <w:numId w:val="21"/>
        </w:numPr>
        <w:rPr>
          <w:rFonts w:ascii="Calibri" w:eastAsia="Calibri" w:hAnsi="Calibri" w:cs="Calibri"/>
          <w:sz w:val="24"/>
          <w:szCs w:val="22"/>
        </w:rPr>
      </w:pPr>
      <w:r w:rsidRPr="00871229">
        <w:rPr>
          <w:rFonts w:ascii="Calibri" w:eastAsia="Calibri" w:hAnsi="Calibri" w:cs="Calibri"/>
          <w:sz w:val="24"/>
          <w:szCs w:val="22"/>
        </w:rPr>
        <w:t>The Council identified other information that examined relationships between thyroid function and posttraumatic stress disorder (</w:t>
      </w:r>
      <w:r w:rsidR="00CD18EE" w:rsidRPr="00871229">
        <w:rPr>
          <w:rFonts w:ascii="Calibri" w:eastAsia="Calibri" w:hAnsi="Calibri" w:cs="Calibri"/>
          <w:sz w:val="24"/>
          <w:szCs w:val="22"/>
        </w:rPr>
        <w:t xml:space="preserve">Toloza </w:t>
      </w:r>
      <w:r w:rsidR="001E1A17" w:rsidRPr="00871229">
        <w:rPr>
          <w:rFonts w:ascii="Calibri" w:eastAsia="Calibri" w:hAnsi="Calibri" w:cs="Calibri"/>
          <w:sz w:val="24"/>
          <w:szCs w:val="22"/>
        </w:rPr>
        <w:t>et</w:t>
      </w:r>
      <w:r w:rsidR="0054016A" w:rsidRPr="00871229">
        <w:rPr>
          <w:rFonts w:ascii="Calibri" w:eastAsia="Calibri" w:hAnsi="Calibri" w:cs="Calibri"/>
          <w:sz w:val="24"/>
          <w:szCs w:val="22"/>
        </w:rPr>
        <w:t xml:space="preserve"> al. </w:t>
      </w:r>
      <w:r w:rsidR="0054016A" w:rsidRPr="006E1170">
        <w:rPr>
          <w:rFonts w:ascii="Calibri" w:eastAsia="Calibri" w:hAnsi="Calibri" w:cs="Calibri"/>
          <w:sz w:val="24"/>
          <w:szCs w:val="22"/>
          <w:lang w:val="de-DE"/>
        </w:rPr>
        <w:t>(2020)</w:t>
      </w:r>
      <w:r w:rsidR="007537F9" w:rsidRPr="006E1170">
        <w:rPr>
          <w:rFonts w:ascii="Calibri" w:eastAsia="Calibri" w:hAnsi="Calibri" w:cs="Calibri"/>
          <w:sz w:val="24"/>
          <w:szCs w:val="22"/>
          <w:lang w:val="de-DE"/>
        </w:rPr>
        <w:t xml:space="preserve"> [RMA ID 102621]</w:t>
      </w:r>
      <w:r w:rsidR="00C45CF5" w:rsidRPr="006E1170">
        <w:rPr>
          <w:rFonts w:ascii="Calibri" w:eastAsia="Calibri" w:hAnsi="Calibri" w:cs="Calibri"/>
          <w:sz w:val="24"/>
          <w:szCs w:val="22"/>
          <w:lang w:val="de-DE"/>
        </w:rPr>
        <w:t>;</w:t>
      </w:r>
      <w:r w:rsidR="00387558" w:rsidRPr="006E1170">
        <w:rPr>
          <w:rFonts w:ascii="Calibri" w:eastAsia="Calibri" w:hAnsi="Calibri" w:cs="Calibri"/>
          <w:sz w:val="24"/>
          <w:szCs w:val="22"/>
          <w:lang w:val="de-DE"/>
        </w:rPr>
        <w:t xml:space="preserve"> </w:t>
      </w:r>
      <w:r w:rsidRPr="006E1170">
        <w:rPr>
          <w:rFonts w:ascii="Calibri" w:eastAsia="Calibri" w:hAnsi="Calibri" w:cs="Calibri"/>
          <w:sz w:val="24"/>
          <w:szCs w:val="22"/>
          <w:lang w:val="de-DE"/>
        </w:rPr>
        <w:t>Spaggiari</w:t>
      </w:r>
      <w:r w:rsidR="0054016A" w:rsidRPr="006E1170">
        <w:rPr>
          <w:rFonts w:ascii="Calibri" w:eastAsia="Calibri" w:hAnsi="Calibri" w:cs="Calibri"/>
          <w:sz w:val="24"/>
          <w:szCs w:val="22"/>
          <w:lang w:val="de-DE"/>
        </w:rPr>
        <w:t xml:space="preserve"> et al. </w:t>
      </w:r>
      <w:r w:rsidR="00124FFF" w:rsidRPr="006E1170">
        <w:rPr>
          <w:rFonts w:ascii="Calibri" w:eastAsia="Calibri" w:hAnsi="Calibri" w:cs="Calibri"/>
          <w:sz w:val="24"/>
          <w:szCs w:val="22"/>
          <w:lang w:val="de-DE"/>
        </w:rPr>
        <w:t>(2021)</w:t>
      </w:r>
      <w:r w:rsidR="009B4ADC" w:rsidRPr="006E1170">
        <w:rPr>
          <w:rFonts w:ascii="Calibri" w:eastAsia="Calibri" w:hAnsi="Calibri" w:cs="Calibri"/>
          <w:sz w:val="24"/>
          <w:szCs w:val="22"/>
          <w:lang w:val="de-DE"/>
        </w:rPr>
        <w:t xml:space="preserve"> [RMA ID 102817]</w:t>
      </w:r>
      <w:r w:rsidR="00C45CF5" w:rsidRPr="006E1170">
        <w:rPr>
          <w:rFonts w:ascii="Calibri" w:eastAsia="Calibri" w:hAnsi="Calibri" w:cs="Calibri"/>
          <w:sz w:val="24"/>
          <w:szCs w:val="22"/>
          <w:lang w:val="de-DE"/>
        </w:rPr>
        <w:t>;</w:t>
      </w:r>
      <w:r w:rsidR="00387558" w:rsidRPr="006E1170">
        <w:rPr>
          <w:rFonts w:ascii="Calibri" w:eastAsia="Calibri" w:hAnsi="Calibri" w:cs="Calibri"/>
          <w:sz w:val="24"/>
          <w:szCs w:val="22"/>
          <w:lang w:val="de-DE"/>
        </w:rPr>
        <w:t xml:space="preserve"> Kamoi et al. </w:t>
      </w:r>
      <w:r w:rsidR="00D90353" w:rsidRPr="00871229">
        <w:rPr>
          <w:rFonts w:ascii="Calibri" w:eastAsia="Calibri" w:hAnsi="Calibri" w:cs="Calibri"/>
          <w:sz w:val="24"/>
          <w:szCs w:val="22"/>
        </w:rPr>
        <w:t>(2006)</w:t>
      </w:r>
      <w:r w:rsidR="00B01C57">
        <w:rPr>
          <w:rFonts w:ascii="Calibri" w:eastAsia="Calibri" w:hAnsi="Calibri" w:cs="Calibri"/>
          <w:sz w:val="24"/>
          <w:szCs w:val="22"/>
        </w:rPr>
        <w:t xml:space="preserve"> </w:t>
      </w:r>
      <w:r w:rsidR="00B01C57" w:rsidRPr="00B01C57">
        <w:rPr>
          <w:rFonts w:ascii="Calibri" w:eastAsia="Calibri" w:hAnsi="Calibri" w:cs="Calibri"/>
          <w:sz w:val="24"/>
          <w:szCs w:val="22"/>
        </w:rPr>
        <w:t>[RMA ID 102801]</w:t>
      </w:r>
      <w:r w:rsidRPr="00871229">
        <w:rPr>
          <w:rFonts w:ascii="Calibri" w:eastAsia="Calibri" w:hAnsi="Calibri" w:cs="Calibri"/>
          <w:sz w:val="24"/>
          <w:szCs w:val="22"/>
        </w:rPr>
        <w:t>)</w:t>
      </w:r>
      <w:r w:rsidR="007A3055">
        <w:rPr>
          <w:rFonts w:ascii="Calibri" w:eastAsia="Calibri" w:hAnsi="Calibri" w:cs="Calibri"/>
          <w:sz w:val="24"/>
          <w:szCs w:val="22"/>
        </w:rPr>
        <w:t xml:space="preserve">. </w:t>
      </w:r>
      <w:r w:rsidRPr="00871229">
        <w:rPr>
          <w:rFonts w:ascii="Calibri" w:eastAsia="Calibri" w:hAnsi="Calibri" w:cs="Calibri"/>
          <w:sz w:val="24"/>
          <w:szCs w:val="22"/>
        </w:rPr>
        <w:t xml:space="preserve">The Council acknowledges that while </w:t>
      </w:r>
      <w:r w:rsidR="00A07D37" w:rsidRPr="00871229">
        <w:rPr>
          <w:rFonts w:ascii="Calibri" w:eastAsia="Calibri" w:hAnsi="Calibri" w:cs="Calibri"/>
          <w:sz w:val="24"/>
          <w:szCs w:val="22"/>
        </w:rPr>
        <w:t xml:space="preserve">thyroid function measures may </w:t>
      </w:r>
      <w:r w:rsidR="00503A01">
        <w:rPr>
          <w:rFonts w:ascii="Calibri" w:eastAsia="Calibri" w:hAnsi="Calibri" w:cs="Calibri"/>
          <w:sz w:val="24"/>
          <w:szCs w:val="22"/>
        </w:rPr>
        <w:t>seem relevant, they must be interpreted in the context of other clinical features not reported in these studies to be considered a reflection of Hashimoto thyroiditis</w:t>
      </w:r>
      <w:r w:rsidRPr="00871229">
        <w:rPr>
          <w:rFonts w:ascii="Calibri" w:eastAsia="Calibri" w:hAnsi="Calibri" w:cs="Calibri"/>
          <w:sz w:val="24"/>
          <w:szCs w:val="22"/>
        </w:rPr>
        <w:t xml:space="preserve">. </w:t>
      </w:r>
    </w:p>
    <w:p w14:paraId="6A22C78B" w14:textId="77777777" w:rsidR="00500D01" w:rsidRDefault="00500D01" w:rsidP="00500D01">
      <w:pPr>
        <w:pStyle w:val="ListParagraph"/>
        <w:rPr>
          <w:rFonts w:ascii="Calibri" w:eastAsia="Calibri" w:hAnsi="Calibri" w:cs="Calibri"/>
          <w:sz w:val="24"/>
          <w:szCs w:val="22"/>
        </w:rPr>
      </w:pPr>
    </w:p>
    <w:p w14:paraId="0CF5D0E2" w14:textId="77777777" w:rsidR="00500D01" w:rsidRPr="00500D01" w:rsidRDefault="00500D01" w:rsidP="00500D01">
      <w:pPr>
        <w:rPr>
          <w:rFonts w:ascii="Calibri" w:eastAsia="Calibri" w:hAnsi="Calibri" w:cs="Calibri"/>
          <w:sz w:val="24"/>
          <w:szCs w:val="22"/>
        </w:rPr>
      </w:pPr>
    </w:p>
    <w:p w14:paraId="383E1019" w14:textId="416A76D4" w:rsidR="0022112C" w:rsidRDefault="00FE374D" w:rsidP="0022112C">
      <w:pPr>
        <w:pStyle w:val="Heading1"/>
        <w:rPr>
          <w:rFonts w:eastAsia="Calibri"/>
          <w:lang w:eastAsia="en-US"/>
        </w:rPr>
      </w:pPr>
      <w:bookmarkStart w:id="34" w:name="_Toc415481411"/>
      <w:bookmarkStart w:id="35" w:name="_Toc193702354"/>
      <w:bookmarkStart w:id="36" w:name="_Toc415563750"/>
      <w:r w:rsidRPr="00F54093">
        <w:rPr>
          <w:rFonts w:eastAsia="Calibri"/>
          <w:lang w:eastAsia="en-US"/>
        </w:rPr>
        <w:t xml:space="preserve">The council’s conclusions on whether there should be </w:t>
      </w:r>
      <w:r w:rsidR="005B5CAF">
        <w:rPr>
          <w:rFonts w:eastAsia="Calibri"/>
          <w:lang w:eastAsia="en-US"/>
        </w:rPr>
        <w:t xml:space="preserve">NEW </w:t>
      </w:r>
      <w:r w:rsidRPr="00F54093">
        <w:rPr>
          <w:rFonts w:eastAsia="Calibri"/>
          <w:lang w:eastAsia="en-US"/>
        </w:rPr>
        <w:t>factor(s)</w:t>
      </w:r>
      <w:r w:rsidR="00B5043F">
        <w:rPr>
          <w:rFonts w:eastAsia="Calibri"/>
          <w:lang w:eastAsia="en-US"/>
        </w:rPr>
        <w:t xml:space="preserve"> </w:t>
      </w:r>
      <w:r w:rsidR="00ED43A3">
        <w:rPr>
          <w:rFonts w:eastAsia="Calibri"/>
          <w:lang w:eastAsia="en-US"/>
        </w:rPr>
        <w:t>FOR HASHIMOTO</w:t>
      </w:r>
      <w:r w:rsidR="006C58DA" w:rsidRPr="00B80B27">
        <w:rPr>
          <w:rFonts w:eastAsia="Calibri"/>
          <w:lang w:eastAsia="en-US"/>
        </w:rPr>
        <w:t xml:space="preserve"> thyroiditis</w:t>
      </w:r>
      <w:bookmarkEnd w:id="34"/>
      <w:bookmarkEnd w:id="35"/>
    </w:p>
    <w:p w14:paraId="42512434" w14:textId="77777777" w:rsidR="0022112C" w:rsidRPr="0022112C" w:rsidRDefault="0022112C" w:rsidP="0022112C">
      <w:pPr>
        <w:pStyle w:val="NumberLevel1"/>
        <w:rPr>
          <w:rFonts w:eastAsia="Calibri"/>
          <w:lang w:eastAsia="en-US"/>
        </w:rPr>
      </w:pPr>
    </w:p>
    <w:p w14:paraId="252A27D8" w14:textId="68205891" w:rsidR="0022112C" w:rsidRPr="0059473D" w:rsidRDefault="0022112C" w:rsidP="0022112C">
      <w:pPr>
        <w:numPr>
          <w:ilvl w:val="0"/>
          <w:numId w:val="21"/>
        </w:numPr>
        <w:rPr>
          <w:rFonts w:ascii="Calibri" w:eastAsia="Calibri" w:hAnsi="Calibri" w:cs="Calibri"/>
          <w:sz w:val="24"/>
          <w:szCs w:val="22"/>
        </w:rPr>
      </w:pPr>
      <w:r w:rsidRPr="0059473D">
        <w:rPr>
          <w:rFonts w:ascii="Calibri" w:eastAsia="Calibri" w:hAnsi="Calibri" w:cs="Calibri"/>
          <w:sz w:val="24"/>
          <w:szCs w:val="22"/>
        </w:rPr>
        <w:t>Based on the Council’s conclusions regarding the relevant sound medical-scientific evidence, this section of the Reasons outlines the Council’s conclusions on whether there should be an amendment to the Statements of Principles</w:t>
      </w:r>
      <w:r w:rsidR="00844817">
        <w:rPr>
          <w:rFonts w:ascii="Calibri" w:eastAsia="Calibri" w:hAnsi="Calibri" w:cs="Calibri"/>
          <w:sz w:val="24"/>
          <w:szCs w:val="22"/>
        </w:rPr>
        <w:t xml:space="preserve"> under review</w:t>
      </w:r>
      <w:r w:rsidRPr="0059473D">
        <w:rPr>
          <w:rFonts w:ascii="Calibri" w:eastAsia="Calibri" w:hAnsi="Calibri" w:cs="Calibri"/>
          <w:sz w:val="24"/>
          <w:szCs w:val="22"/>
        </w:rPr>
        <w:t xml:space="preserve">. </w:t>
      </w:r>
    </w:p>
    <w:p w14:paraId="6C1B6A0C" w14:textId="77777777" w:rsidR="005510F5" w:rsidRPr="005510F5" w:rsidRDefault="005510F5" w:rsidP="005510F5">
      <w:pPr>
        <w:ind w:left="720"/>
        <w:rPr>
          <w:rFonts w:ascii="Calibri" w:eastAsia="Calibri" w:hAnsi="Calibri" w:cs="Calibri"/>
          <w:sz w:val="24"/>
          <w:szCs w:val="22"/>
          <w:highlight w:val="yellow"/>
        </w:rPr>
      </w:pPr>
    </w:p>
    <w:p w14:paraId="5EF5AAFD" w14:textId="0E3BEEF1" w:rsidR="00844817" w:rsidRDefault="005510F5" w:rsidP="00844817">
      <w:pPr>
        <w:pStyle w:val="ListParagraph"/>
        <w:numPr>
          <w:ilvl w:val="0"/>
          <w:numId w:val="21"/>
        </w:numPr>
        <w:rPr>
          <w:rFonts w:ascii="Calibri" w:eastAsia="Calibri" w:hAnsi="Calibri" w:cs="Calibri"/>
          <w:sz w:val="24"/>
          <w:szCs w:val="22"/>
        </w:rPr>
      </w:pPr>
      <w:r w:rsidRPr="00844817">
        <w:rPr>
          <w:rFonts w:ascii="Calibri" w:eastAsia="Calibri" w:hAnsi="Calibri" w:cs="Calibri"/>
          <w:sz w:val="24"/>
          <w:szCs w:val="22"/>
        </w:rPr>
        <w:t>The Council concluded that there should not be an amendment with respect to</w:t>
      </w:r>
      <w:r w:rsidR="00844817" w:rsidRPr="00844817">
        <w:rPr>
          <w:rFonts w:ascii="Calibri" w:eastAsia="Calibri" w:hAnsi="Calibri" w:cs="Calibri"/>
          <w:sz w:val="24"/>
          <w:szCs w:val="22"/>
        </w:rPr>
        <w:t xml:space="preserve"> the Statement</w:t>
      </w:r>
      <w:r w:rsidR="005924A8">
        <w:rPr>
          <w:rFonts w:ascii="Calibri" w:eastAsia="Calibri" w:hAnsi="Calibri" w:cs="Calibri"/>
          <w:sz w:val="24"/>
          <w:szCs w:val="22"/>
        </w:rPr>
        <w:t>s</w:t>
      </w:r>
      <w:r w:rsidR="00844817" w:rsidRPr="00844817">
        <w:rPr>
          <w:rFonts w:ascii="Calibri" w:eastAsia="Calibri" w:hAnsi="Calibri" w:cs="Calibri"/>
          <w:sz w:val="24"/>
          <w:szCs w:val="22"/>
        </w:rPr>
        <w:t xml:space="preserve"> of Principles concerning Hashimoto thyroiditis (Nos. 01 and 02 of </w:t>
      </w:r>
      <w:r w:rsidR="00844817" w:rsidRPr="005F3F0D">
        <w:rPr>
          <w:rFonts w:ascii="Calibri" w:eastAsia="Calibri" w:hAnsi="Calibri" w:cs="Calibri"/>
          <w:sz w:val="24"/>
          <w:szCs w:val="22"/>
        </w:rPr>
        <w:t xml:space="preserve">2022). </w:t>
      </w:r>
    </w:p>
    <w:p w14:paraId="7964629E" w14:textId="77777777" w:rsidR="00B30F87" w:rsidRPr="00B30F87" w:rsidRDefault="00B30F87" w:rsidP="00B30F87">
      <w:pPr>
        <w:rPr>
          <w:rFonts w:ascii="Calibri" w:eastAsia="Calibri" w:hAnsi="Calibri" w:cs="Calibri"/>
          <w:sz w:val="24"/>
          <w:szCs w:val="22"/>
        </w:rPr>
      </w:pPr>
    </w:p>
    <w:p w14:paraId="460ECB68" w14:textId="2400ACC6" w:rsidR="00B528A3" w:rsidRDefault="00EE78B7" w:rsidP="005510F5">
      <w:pPr>
        <w:pStyle w:val="ListParagraph"/>
        <w:numPr>
          <w:ilvl w:val="0"/>
          <w:numId w:val="21"/>
        </w:numPr>
        <w:rPr>
          <w:rFonts w:ascii="Calibri" w:eastAsia="Calibri" w:hAnsi="Calibri" w:cs="Calibri"/>
          <w:sz w:val="24"/>
          <w:szCs w:val="22"/>
        </w:rPr>
      </w:pPr>
      <w:r>
        <w:rPr>
          <w:rFonts w:ascii="Calibri" w:eastAsia="Calibri" w:hAnsi="Calibri" w:cs="Calibri"/>
          <w:sz w:val="24"/>
          <w:szCs w:val="22"/>
        </w:rPr>
        <w:t xml:space="preserve">Consistent with the current </w:t>
      </w:r>
      <w:r w:rsidRPr="00EE78B7">
        <w:rPr>
          <w:rFonts w:ascii="Calibri" w:eastAsia="Calibri" w:hAnsi="Calibri" w:cs="Calibri"/>
          <w:sz w:val="24"/>
          <w:szCs w:val="22"/>
        </w:rPr>
        <w:t>Statement</w:t>
      </w:r>
      <w:r w:rsidR="00E848C5">
        <w:rPr>
          <w:rFonts w:ascii="Calibri" w:eastAsia="Calibri" w:hAnsi="Calibri" w:cs="Calibri"/>
          <w:sz w:val="24"/>
          <w:szCs w:val="22"/>
        </w:rPr>
        <w:t>s</w:t>
      </w:r>
      <w:r w:rsidRPr="00EE78B7">
        <w:rPr>
          <w:rFonts w:ascii="Calibri" w:eastAsia="Calibri" w:hAnsi="Calibri" w:cs="Calibri"/>
          <w:sz w:val="24"/>
          <w:szCs w:val="22"/>
        </w:rPr>
        <w:t xml:space="preserve"> of Principles concerning Hashimoto thyroiditis (Nos. 01 and 02 of 2022)</w:t>
      </w:r>
      <w:r>
        <w:rPr>
          <w:rFonts w:ascii="Calibri" w:eastAsia="Calibri" w:hAnsi="Calibri" w:cs="Calibri"/>
          <w:sz w:val="24"/>
          <w:szCs w:val="22"/>
        </w:rPr>
        <w:t>, t</w:t>
      </w:r>
      <w:r w:rsidR="005510F5" w:rsidRPr="005F3F0D">
        <w:rPr>
          <w:rFonts w:ascii="Calibri" w:eastAsia="Calibri" w:hAnsi="Calibri" w:cs="Calibri"/>
          <w:sz w:val="24"/>
          <w:szCs w:val="22"/>
        </w:rPr>
        <w:t>his conclusion was based on</w:t>
      </w:r>
      <w:r w:rsidR="00A50E88" w:rsidRPr="005F3F0D">
        <w:rPr>
          <w:rFonts w:ascii="Calibri" w:eastAsia="Calibri" w:hAnsi="Calibri" w:cs="Calibri"/>
          <w:sz w:val="24"/>
          <w:szCs w:val="22"/>
        </w:rPr>
        <w:t xml:space="preserve"> a finding that there was</w:t>
      </w:r>
      <w:r w:rsidR="005510F5" w:rsidRPr="005F3F0D">
        <w:rPr>
          <w:rFonts w:ascii="Calibri" w:eastAsia="Calibri" w:hAnsi="Calibri" w:cs="Calibri"/>
          <w:sz w:val="24"/>
          <w:szCs w:val="22"/>
        </w:rPr>
        <w:t xml:space="preserve"> </w:t>
      </w:r>
      <w:r w:rsidR="00A50E88" w:rsidRPr="005F3F0D">
        <w:rPr>
          <w:rFonts w:ascii="Calibri" w:eastAsia="Calibri" w:hAnsi="Calibri" w:cs="Calibri"/>
          <w:sz w:val="24"/>
          <w:szCs w:val="22"/>
        </w:rPr>
        <w:t>sufficient evidence</w:t>
      </w:r>
      <w:r w:rsidR="005F3F0D" w:rsidRPr="005F3F0D">
        <w:rPr>
          <w:rFonts w:ascii="Calibri" w:eastAsia="Calibri" w:hAnsi="Calibri" w:cs="Calibri"/>
          <w:sz w:val="24"/>
          <w:szCs w:val="22"/>
        </w:rPr>
        <w:t xml:space="preserve"> available</w:t>
      </w:r>
      <w:r w:rsidR="00A50E88" w:rsidRPr="005F3F0D">
        <w:rPr>
          <w:rFonts w:ascii="Calibri" w:eastAsia="Calibri" w:hAnsi="Calibri" w:cs="Calibri"/>
          <w:sz w:val="24"/>
          <w:szCs w:val="22"/>
        </w:rPr>
        <w:t xml:space="preserve"> to satisfy the requirements of the reasonable hypothesis test but </w:t>
      </w:r>
      <w:r w:rsidR="005510F5" w:rsidRPr="005F3F0D">
        <w:rPr>
          <w:rFonts w:ascii="Calibri" w:eastAsia="Calibri" w:hAnsi="Calibri" w:cs="Calibri"/>
          <w:sz w:val="24"/>
          <w:szCs w:val="22"/>
        </w:rPr>
        <w:t>insufficient evidence available to satisfy the requirements of the balance of probabilities</w:t>
      </w:r>
      <w:bookmarkEnd w:id="36"/>
      <w:r w:rsidR="007A1E51">
        <w:rPr>
          <w:rFonts w:ascii="Calibri" w:eastAsia="Calibri" w:hAnsi="Calibri" w:cs="Calibri"/>
          <w:sz w:val="24"/>
          <w:szCs w:val="22"/>
        </w:rPr>
        <w:t xml:space="preserve"> test</w:t>
      </w:r>
      <w:r w:rsidR="00D27F45">
        <w:rPr>
          <w:rFonts w:ascii="Calibri" w:eastAsia="Calibri" w:hAnsi="Calibri" w:cs="Calibri"/>
          <w:sz w:val="24"/>
          <w:szCs w:val="22"/>
        </w:rPr>
        <w:t xml:space="preserve"> to include a </w:t>
      </w:r>
      <w:r w:rsidR="00B02047">
        <w:rPr>
          <w:rFonts w:ascii="Calibri" w:eastAsia="Calibri" w:hAnsi="Calibri" w:cs="Calibri"/>
          <w:sz w:val="24"/>
          <w:szCs w:val="22"/>
        </w:rPr>
        <w:t>factor for having posttraumatic stress disorder</w:t>
      </w:r>
      <w:r w:rsidR="005F3F0D" w:rsidRPr="005F3F0D">
        <w:rPr>
          <w:rFonts w:ascii="Calibri" w:eastAsia="Calibri" w:hAnsi="Calibri" w:cs="Calibri"/>
          <w:sz w:val="24"/>
          <w:szCs w:val="22"/>
        </w:rPr>
        <w:t xml:space="preserve">. </w:t>
      </w:r>
    </w:p>
    <w:p w14:paraId="364F6638" w14:textId="77777777" w:rsidR="005621C8" w:rsidRPr="005621C8" w:rsidRDefault="005621C8" w:rsidP="005621C8">
      <w:pPr>
        <w:pStyle w:val="ListParagraph"/>
        <w:rPr>
          <w:rFonts w:ascii="Calibri" w:eastAsia="Calibri" w:hAnsi="Calibri" w:cs="Calibri"/>
          <w:sz w:val="24"/>
          <w:szCs w:val="22"/>
        </w:rPr>
      </w:pPr>
    </w:p>
    <w:p w14:paraId="1472B531" w14:textId="191B0329" w:rsidR="007A56B3" w:rsidRPr="00E1318C" w:rsidRDefault="003F365D" w:rsidP="006A1945">
      <w:pPr>
        <w:pStyle w:val="ListParagraph"/>
        <w:numPr>
          <w:ilvl w:val="0"/>
          <w:numId w:val="21"/>
        </w:numPr>
        <w:rPr>
          <w:rFonts w:eastAsia="Calibri"/>
        </w:rPr>
      </w:pPr>
      <w:r w:rsidRPr="00184F94">
        <w:rPr>
          <w:rFonts w:ascii="Calibri" w:eastAsia="Calibri" w:hAnsi="Calibri" w:cs="Calibri"/>
          <w:sz w:val="24"/>
          <w:szCs w:val="22"/>
        </w:rPr>
        <w:t>The Council found only two studies</w:t>
      </w:r>
      <w:r w:rsidR="00135702">
        <w:rPr>
          <w:rFonts w:ascii="Calibri" w:eastAsia="Calibri" w:hAnsi="Calibri" w:cs="Calibri"/>
          <w:sz w:val="24"/>
          <w:szCs w:val="22"/>
        </w:rPr>
        <w:t xml:space="preserve"> </w:t>
      </w:r>
      <w:r w:rsidR="00507812">
        <w:rPr>
          <w:rFonts w:ascii="Calibri" w:eastAsia="Calibri" w:hAnsi="Calibri" w:cs="Calibri"/>
          <w:sz w:val="24"/>
          <w:szCs w:val="22"/>
        </w:rPr>
        <w:t xml:space="preserve">that </w:t>
      </w:r>
      <w:r w:rsidR="004C10AA">
        <w:rPr>
          <w:rFonts w:ascii="Calibri" w:eastAsia="Calibri" w:hAnsi="Calibri" w:cs="Calibri"/>
          <w:sz w:val="24"/>
          <w:szCs w:val="22"/>
        </w:rPr>
        <w:t xml:space="preserve">it considered to be </w:t>
      </w:r>
      <w:r w:rsidR="00D22602" w:rsidRPr="00D22602">
        <w:rPr>
          <w:rFonts w:ascii="Calibri" w:eastAsia="Calibri" w:hAnsi="Calibri" w:cs="Calibri"/>
          <w:sz w:val="24"/>
          <w:szCs w:val="22"/>
        </w:rPr>
        <w:t xml:space="preserve">most directly relevant to the scope of the review to determine factors linking posttraumatic stress </w:t>
      </w:r>
      <w:r w:rsidR="00D22602" w:rsidRPr="00D22602">
        <w:rPr>
          <w:rFonts w:ascii="Calibri" w:eastAsia="Calibri" w:hAnsi="Calibri" w:cs="Calibri"/>
          <w:sz w:val="24"/>
          <w:szCs w:val="22"/>
        </w:rPr>
        <w:lastRenderedPageBreak/>
        <w:t>disorder with Hashimoto thyroiditis</w:t>
      </w:r>
      <w:r w:rsidR="00FE2C26">
        <w:rPr>
          <w:rFonts w:ascii="Calibri" w:eastAsia="Calibri" w:hAnsi="Calibri" w:cs="Calibri"/>
          <w:sz w:val="24"/>
          <w:szCs w:val="22"/>
        </w:rPr>
        <w:t xml:space="preserve"> </w:t>
      </w:r>
      <w:r w:rsidR="00FE2C26" w:rsidRPr="00184F94">
        <w:rPr>
          <w:rFonts w:ascii="Calibri" w:eastAsia="Calibri" w:hAnsi="Calibri" w:cs="Calibri"/>
          <w:sz w:val="24"/>
          <w:szCs w:val="22"/>
        </w:rPr>
        <w:t>(Jung et al. 2019 [RMA ID 102800]</w:t>
      </w:r>
      <w:r w:rsidR="00FE2C26">
        <w:rPr>
          <w:rFonts w:ascii="Calibri" w:eastAsia="Calibri" w:hAnsi="Calibri" w:cs="Calibri"/>
          <w:sz w:val="24"/>
          <w:szCs w:val="22"/>
        </w:rPr>
        <w:t>;</w:t>
      </w:r>
      <w:r w:rsidR="00FE2C26" w:rsidRPr="00184F94">
        <w:rPr>
          <w:rFonts w:ascii="Calibri" w:eastAsia="Calibri" w:hAnsi="Calibri" w:cs="Calibri"/>
          <w:sz w:val="24"/>
          <w:szCs w:val="22"/>
        </w:rPr>
        <w:t xml:space="preserve"> O’Donovan et al. 2015 [RMA ID 102934])</w:t>
      </w:r>
      <w:r w:rsidR="00FE2C26">
        <w:rPr>
          <w:rFonts w:ascii="Calibri" w:eastAsia="Calibri" w:hAnsi="Calibri" w:cs="Calibri"/>
          <w:sz w:val="24"/>
          <w:szCs w:val="22"/>
        </w:rPr>
        <w:t>. These studies</w:t>
      </w:r>
      <w:r w:rsidR="00021E81">
        <w:rPr>
          <w:rFonts w:ascii="Calibri" w:eastAsia="Calibri" w:hAnsi="Calibri" w:cs="Calibri"/>
          <w:sz w:val="24"/>
          <w:szCs w:val="22"/>
        </w:rPr>
        <w:t xml:space="preserve"> investigated </w:t>
      </w:r>
      <w:r w:rsidR="00187485" w:rsidRPr="00184F94">
        <w:rPr>
          <w:rFonts w:ascii="Calibri" w:eastAsia="Calibri" w:hAnsi="Calibri" w:cs="Calibri"/>
          <w:sz w:val="24"/>
          <w:szCs w:val="22"/>
        </w:rPr>
        <w:t>associations</w:t>
      </w:r>
      <w:r w:rsidR="00DC424C">
        <w:rPr>
          <w:rFonts w:ascii="Calibri" w:eastAsia="Calibri" w:hAnsi="Calibri" w:cs="Calibri"/>
          <w:sz w:val="24"/>
          <w:szCs w:val="22"/>
        </w:rPr>
        <w:t xml:space="preserve"> </w:t>
      </w:r>
      <w:r w:rsidR="00187485" w:rsidRPr="00184F94">
        <w:rPr>
          <w:rFonts w:ascii="Calibri" w:eastAsia="Calibri" w:hAnsi="Calibri" w:cs="Calibri"/>
          <w:sz w:val="24"/>
          <w:szCs w:val="22"/>
        </w:rPr>
        <w:t xml:space="preserve">between </w:t>
      </w:r>
      <w:r w:rsidR="00676164" w:rsidRPr="00184F94">
        <w:rPr>
          <w:rFonts w:ascii="Calibri" w:eastAsia="Calibri" w:hAnsi="Calibri" w:cs="Calibri"/>
          <w:sz w:val="24"/>
          <w:szCs w:val="22"/>
        </w:rPr>
        <w:t>closely related</w:t>
      </w:r>
      <w:r w:rsidR="009069CC" w:rsidRPr="00184F94">
        <w:rPr>
          <w:rFonts w:ascii="Calibri" w:eastAsia="Calibri" w:hAnsi="Calibri" w:cs="Calibri"/>
          <w:sz w:val="24"/>
          <w:szCs w:val="22"/>
        </w:rPr>
        <w:t xml:space="preserve"> </w:t>
      </w:r>
      <w:r w:rsidR="00676164" w:rsidRPr="00184F94">
        <w:rPr>
          <w:rFonts w:ascii="Calibri" w:eastAsia="Calibri" w:hAnsi="Calibri" w:cs="Calibri"/>
          <w:sz w:val="24"/>
          <w:szCs w:val="22"/>
        </w:rPr>
        <w:t>c</w:t>
      </w:r>
      <w:r w:rsidR="00B26D14" w:rsidRPr="00184F94">
        <w:rPr>
          <w:rFonts w:ascii="Calibri" w:eastAsia="Calibri" w:hAnsi="Calibri" w:cs="Calibri"/>
          <w:sz w:val="24"/>
          <w:szCs w:val="22"/>
        </w:rPr>
        <w:t xml:space="preserve">onditions to Hashimoto </w:t>
      </w:r>
      <w:r w:rsidR="009069CC" w:rsidRPr="00184F94">
        <w:rPr>
          <w:rFonts w:ascii="Calibri" w:eastAsia="Calibri" w:hAnsi="Calibri" w:cs="Calibri"/>
          <w:sz w:val="24"/>
          <w:szCs w:val="22"/>
        </w:rPr>
        <w:t>thyroiditis (i.e., hypothyroidism and thyroiditis</w:t>
      </w:r>
      <w:r w:rsidR="00B447B7" w:rsidRPr="00184F94">
        <w:rPr>
          <w:rFonts w:ascii="Calibri" w:eastAsia="Calibri" w:hAnsi="Calibri" w:cs="Calibri"/>
          <w:sz w:val="24"/>
          <w:szCs w:val="22"/>
        </w:rPr>
        <w:t>)</w:t>
      </w:r>
      <w:r w:rsidR="00F86F34" w:rsidRPr="00184F94">
        <w:rPr>
          <w:rFonts w:ascii="Calibri" w:eastAsia="Calibri" w:hAnsi="Calibri" w:cs="Calibri"/>
          <w:sz w:val="24"/>
          <w:szCs w:val="22"/>
        </w:rPr>
        <w:t xml:space="preserve"> and posttraumatic stress disorder. </w:t>
      </w:r>
      <w:r w:rsidR="00E5085D">
        <w:rPr>
          <w:rFonts w:ascii="Calibri" w:eastAsia="Calibri" w:hAnsi="Calibri" w:cs="Calibri"/>
          <w:sz w:val="24"/>
          <w:szCs w:val="22"/>
        </w:rPr>
        <w:t xml:space="preserve">The Council considered that the requirements of the reasonable hypothesis test were </w:t>
      </w:r>
      <w:r w:rsidR="004B6C24">
        <w:rPr>
          <w:rFonts w:ascii="Calibri" w:eastAsia="Calibri" w:hAnsi="Calibri" w:cs="Calibri"/>
          <w:sz w:val="24"/>
          <w:szCs w:val="22"/>
        </w:rPr>
        <w:t>met mainly</w:t>
      </w:r>
      <w:r w:rsidR="00E5085D">
        <w:rPr>
          <w:rFonts w:ascii="Calibri" w:eastAsia="Calibri" w:hAnsi="Calibri" w:cs="Calibri"/>
          <w:sz w:val="24"/>
          <w:szCs w:val="22"/>
        </w:rPr>
        <w:t xml:space="preserve"> </w:t>
      </w:r>
      <w:r w:rsidR="00757558">
        <w:rPr>
          <w:rFonts w:ascii="Calibri" w:eastAsia="Calibri" w:hAnsi="Calibri" w:cs="Calibri"/>
          <w:sz w:val="24"/>
          <w:szCs w:val="22"/>
        </w:rPr>
        <w:t>because</w:t>
      </w:r>
      <w:r w:rsidR="00E5085D">
        <w:rPr>
          <w:rFonts w:ascii="Calibri" w:eastAsia="Calibri" w:hAnsi="Calibri" w:cs="Calibri"/>
          <w:sz w:val="24"/>
          <w:szCs w:val="22"/>
        </w:rPr>
        <w:t xml:space="preserve"> t</w:t>
      </w:r>
      <w:r w:rsidR="00386D46" w:rsidRPr="008C4566">
        <w:rPr>
          <w:rFonts w:ascii="Calibri" w:eastAsia="Calibri" w:hAnsi="Calibri" w:cs="Calibri"/>
          <w:sz w:val="24"/>
          <w:szCs w:val="22"/>
        </w:rPr>
        <w:t xml:space="preserve">hese </w:t>
      </w:r>
      <w:r w:rsidR="00E5085D">
        <w:rPr>
          <w:rFonts w:ascii="Calibri" w:eastAsia="Calibri" w:hAnsi="Calibri" w:cs="Calibri"/>
          <w:sz w:val="24"/>
          <w:szCs w:val="22"/>
        </w:rPr>
        <w:t>two studies</w:t>
      </w:r>
      <w:r w:rsidR="00386D46" w:rsidRPr="008C4566">
        <w:rPr>
          <w:rFonts w:ascii="Calibri" w:eastAsia="Calibri" w:hAnsi="Calibri" w:cs="Calibri"/>
          <w:sz w:val="24"/>
          <w:szCs w:val="22"/>
        </w:rPr>
        <w:t xml:space="preserve"> consistently identified an association</w:t>
      </w:r>
      <w:r w:rsidR="00E5085D">
        <w:rPr>
          <w:rFonts w:ascii="Calibri" w:eastAsia="Calibri" w:hAnsi="Calibri" w:cs="Calibri"/>
          <w:sz w:val="24"/>
          <w:szCs w:val="22"/>
        </w:rPr>
        <w:t xml:space="preserve"> and that there was </w:t>
      </w:r>
      <w:r w:rsidR="00596C76">
        <w:rPr>
          <w:rFonts w:ascii="Calibri" w:eastAsia="Calibri" w:hAnsi="Calibri" w:cs="Calibri"/>
          <w:sz w:val="24"/>
          <w:szCs w:val="22"/>
        </w:rPr>
        <w:t xml:space="preserve">little conflicting evidence among the other </w:t>
      </w:r>
      <w:r w:rsidR="0036505A">
        <w:rPr>
          <w:rFonts w:ascii="Calibri" w:eastAsia="Calibri" w:hAnsi="Calibri" w:cs="Calibri"/>
          <w:sz w:val="24"/>
          <w:szCs w:val="22"/>
        </w:rPr>
        <w:t xml:space="preserve">relevant descriptive </w:t>
      </w:r>
      <w:r w:rsidR="00596C76">
        <w:rPr>
          <w:rFonts w:ascii="Calibri" w:eastAsia="Calibri" w:hAnsi="Calibri" w:cs="Calibri"/>
          <w:sz w:val="24"/>
          <w:szCs w:val="22"/>
        </w:rPr>
        <w:t>literature the Council reviewed</w:t>
      </w:r>
      <w:r w:rsidR="00DB5B9C">
        <w:rPr>
          <w:rFonts w:ascii="Calibri" w:eastAsia="Calibri" w:hAnsi="Calibri" w:cs="Calibri"/>
          <w:sz w:val="24"/>
          <w:szCs w:val="22"/>
        </w:rPr>
        <w:t xml:space="preserve"> (</w:t>
      </w:r>
      <w:r w:rsidR="00DB5B9C" w:rsidRPr="00DB5B9C">
        <w:rPr>
          <w:rFonts w:ascii="Calibri" w:eastAsia="Calibri" w:hAnsi="Calibri" w:cs="Calibri"/>
          <w:sz w:val="24"/>
          <w:szCs w:val="22"/>
        </w:rPr>
        <w:t>Song et al. (2018) [RMA ID 102816]</w:t>
      </w:r>
      <w:r w:rsidR="00C45CF5">
        <w:rPr>
          <w:rFonts w:ascii="Calibri" w:eastAsia="Calibri" w:hAnsi="Calibri" w:cs="Calibri"/>
          <w:sz w:val="24"/>
          <w:szCs w:val="22"/>
        </w:rPr>
        <w:t>;</w:t>
      </w:r>
      <w:r w:rsidR="00DB5B9C">
        <w:rPr>
          <w:rFonts w:ascii="Calibri" w:eastAsia="Calibri" w:hAnsi="Calibri" w:cs="Calibri"/>
          <w:sz w:val="24"/>
          <w:szCs w:val="22"/>
        </w:rPr>
        <w:t xml:space="preserve"> </w:t>
      </w:r>
      <w:r w:rsidR="00DB5B9C" w:rsidRPr="00DB5B9C">
        <w:rPr>
          <w:rFonts w:ascii="Calibri" w:eastAsia="Calibri" w:hAnsi="Calibri" w:cs="Calibri"/>
          <w:sz w:val="24"/>
          <w:szCs w:val="22"/>
        </w:rPr>
        <w:t>Boscarino (2013) [RMA ID 49509]</w:t>
      </w:r>
      <w:r w:rsidR="00C45CF5">
        <w:rPr>
          <w:rFonts w:ascii="Calibri" w:eastAsia="Calibri" w:hAnsi="Calibri" w:cs="Calibri"/>
          <w:sz w:val="24"/>
          <w:szCs w:val="22"/>
        </w:rPr>
        <w:t>;</w:t>
      </w:r>
      <w:r w:rsidR="00DB5B9C">
        <w:rPr>
          <w:rFonts w:ascii="Calibri" w:eastAsia="Calibri" w:hAnsi="Calibri" w:cs="Calibri"/>
          <w:sz w:val="24"/>
          <w:szCs w:val="22"/>
        </w:rPr>
        <w:t xml:space="preserve"> </w:t>
      </w:r>
      <w:r w:rsidR="00DB5B9C" w:rsidRPr="00DB5B9C">
        <w:rPr>
          <w:rFonts w:ascii="Calibri" w:eastAsia="Calibri" w:hAnsi="Calibri" w:cs="Calibri"/>
          <w:sz w:val="24"/>
          <w:szCs w:val="22"/>
        </w:rPr>
        <w:t>Vaja et al. (2013) [RMA ID 103393]</w:t>
      </w:r>
      <w:r w:rsidR="00DB5B9C">
        <w:rPr>
          <w:rFonts w:ascii="Calibri" w:eastAsia="Calibri" w:hAnsi="Calibri" w:cs="Calibri"/>
          <w:sz w:val="24"/>
          <w:szCs w:val="22"/>
        </w:rPr>
        <w:t>)</w:t>
      </w:r>
      <w:r w:rsidR="004340B1" w:rsidRPr="008C4566">
        <w:rPr>
          <w:rFonts w:ascii="Calibri" w:eastAsia="Calibri" w:hAnsi="Calibri" w:cs="Calibri"/>
          <w:sz w:val="24"/>
          <w:szCs w:val="22"/>
        </w:rPr>
        <w:t xml:space="preserve">. </w:t>
      </w:r>
    </w:p>
    <w:p w14:paraId="0F9DE754" w14:textId="77777777" w:rsidR="007A56B3" w:rsidRPr="00E1318C" w:rsidRDefault="007A56B3" w:rsidP="00E1318C">
      <w:pPr>
        <w:pStyle w:val="ListParagraph"/>
        <w:rPr>
          <w:rFonts w:ascii="Calibri" w:eastAsia="Calibri" w:hAnsi="Calibri" w:cs="Calibri"/>
          <w:sz w:val="24"/>
          <w:szCs w:val="22"/>
        </w:rPr>
      </w:pPr>
    </w:p>
    <w:p w14:paraId="4A8D8644" w14:textId="37AE3605" w:rsidR="00E247D8" w:rsidRPr="00D6551E" w:rsidRDefault="004340B1" w:rsidP="006A1945">
      <w:pPr>
        <w:pStyle w:val="ListParagraph"/>
        <w:numPr>
          <w:ilvl w:val="0"/>
          <w:numId w:val="21"/>
        </w:numPr>
        <w:rPr>
          <w:rFonts w:eastAsia="Calibri"/>
        </w:rPr>
      </w:pPr>
      <w:r w:rsidRPr="008C4566">
        <w:rPr>
          <w:rFonts w:ascii="Calibri" w:eastAsia="Calibri" w:hAnsi="Calibri" w:cs="Calibri"/>
          <w:sz w:val="24"/>
          <w:szCs w:val="22"/>
        </w:rPr>
        <w:t>However</w:t>
      </w:r>
      <w:r w:rsidR="00B26D14" w:rsidRPr="008C4566">
        <w:rPr>
          <w:rFonts w:ascii="Calibri" w:eastAsia="Calibri" w:hAnsi="Calibri" w:cs="Calibri"/>
          <w:sz w:val="24"/>
          <w:szCs w:val="22"/>
        </w:rPr>
        <w:t xml:space="preserve">, </w:t>
      </w:r>
      <w:r w:rsidR="005D3573">
        <w:rPr>
          <w:rFonts w:ascii="Calibri" w:eastAsia="Calibri" w:hAnsi="Calibri" w:cs="Calibri"/>
          <w:sz w:val="24"/>
          <w:szCs w:val="22"/>
        </w:rPr>
        <w:t>the</w:t>
      </w:r>
      <w:r w:rsidR="00757558">
        <w:rPr>
          <w:rFonts w:ascii="Calibri" w:eastAsia="Calibri" w:hAnsi="Calibri" w:cs="Calibri"/>
          <w:sz w:val="24"/>
          <w:szCs w:val="22"/>
        </w:rPr>
        <w:t xml:space="preserve"> strength</w:t>
      </w:r>
      <w:r w:rsidR="005D3573">
        <w:rPr>
          <w:rFonts w:ascii="Calibri" w:eastAsia="Calibri" w:hAnsi="Calibri" w:cs="Calibri"/>
          <w:sz w:val="24"/>
          <w:szCs w:val="22"/>
        </w:rPr>
        <w:t xml:space="preserve"> of </w:t>
      </w:r>
      <w:r w:rsidR="00136F18">
        <w:rPr>
          <w:rFonts w:ascii="Calibri" w:eastAsia="Calibri" w:hAnsi="Calibri" w:cs="Calibri"/>
          <w:sz w:val="24"/>
          <w:szCs w:val="22"/>
        </w:rPr>
        <w:t xml:space="preserve">the </w:t>
      </w:r>
      <w:r w:rsidR="005D3573">
        <w:rPr>
          <w:rFonts w:ascii="Calibri" w:eastAsia="Calibri" w:hAnsi="Calibri" w:cs="Calibri"/>
          <w:sz w:val="24"/>
          <w:szCs w:val="22"/>
        </w:rPr>
        <w:t>associations found</w:t>
      </w:r>
      <w:r w:rsidR="00757558">
        <w:rPr>
          <w:rFonts w:ascii="Calibri" w:eastAsia="Calibri" w:hAnsi="Calibri" w:cs="Calibri"/>
          <w:sz w:val="24"/>
          <w:szCs w:val="22"/>
        </w:rPr>
        <w:t xml:space="preserve"> </w:t>
      </w:r>
      <w:r w:rsidR="00C20077">
        <w:rPr>
          <w:rFonts w:ascii="Calibri" w:eastAsia="Calibri" w:hAnsi="Calibri" w:cs="Calibri"/>
          <w:sz w:val="24"/>
          <w:szCs w:val="22"/>
        </w:rPr>
        <w:t xml:space="preserve">in these two studies </w:t>
      </w:r>
      <w:r w:rsidR="005D3573">
        <w:rPr>
          <w:rFonts w:ascii="Calibri" w:eastAsia="Calibri" w:hAnsi="Calibri" w:cs="Calibri"/>
          <w:sz w:val="24"/>
          <w:szCs w:val="22"/>
        </w:rPr>
        <w:t>were</w:t>
      </w:r>
      <w:r w:rsidR="00757558">
        <w:rPr>
          <w:rFonts w:ascii="Calibri" w:eastAsia="Calibri" w:hAnsi="Calibri" w:cs="Calibri"/>
          <w:sz w:val="24"/>
          <w:szCs w:val="22"/>
        </w:rPr>
        <w:t xml:space="preserve"> small and</w:t>
      </w:r>
      <w:r w:rsidR="008D46FA">
        <w:rPr>
          <w:rFonts w:ascii="Calibri" w:eastAsia="Calibri" w:hAnsi="Calibri" w:cs="Calibri"/>
          <w:sz w:val="24"/>
          <w:szCs w:val="22"/>
        </w:rPr>
        <w:t xml:space="preserve"> not statistically significant in all models</w:t>
      </w:r>
      <w:r w:rsidR="004E16D1">
        <w:rPr>
          <w:rFonts w:ascii="Calibri" w:eastAsia="Calibri" w:hAnsi="Calibri" w:cs="Calibri"/>
          <w:sz w:val="24"/>
          <w:szCs w:val="22"/>
        </w:rPr>
        <w:t xml:space="preserve"> (</w:t>
      </w:r>
      <w:r w:rsidR="004E16D1" w:rsidRPr="004E16D1">
        <w:rPr>
          <w:rFonts w:ascii="Calibri" w:eastAsia="Calibri" w:hAnsi="Calibri" w:cs="Calibri"/>
          <w:sz w:val="24"/>
          <w:szCs w:val="22"/>
        </w:rPr>
        <w:t>Jung et al. 2019 [RMA ID 102800]</w:t>
      </w:r>
      <w:r w:rsidR="00C45CF5">
        <w:rPr>
          <w:rFonts w:ascii="Calibri" w:eastAsia="Calibri" w:hAnsi="Calibri" w:cs="Calibri"/>
          <w:sz w:val="24"/>
          <w:szCs w:val="22"/>
        </w:rPr>
        <w:t>;</w:t>
      </w:r>
      <w:r w:rsidR="004E16D1" w:rsidRPr="004E16D1">
        <w:rPr>
          <w:rFonts w:ascii="Calibri" w:eastAsia="Calibri" w:hAnsi="Calibri" w:cs="Calibri"/>
          <w:sz w:val="24"/>
          <w:szCs w:val="22"/>
        </w:rPr>
        <w:t xml:space="preserve"> O’Donovan et al. 2015 [RMA ID 102934])</w:t>
      </w:r>
      <w:r w:rsidR="00B26D14" w:rsidRPr="008C4566">
        <w:rPr>
          <w:rFonts w:ascii="Calibri" w:eastAsia="Calibri" w:hAnsi="Calibri" w:cs="Calibri"/>
          <w:sz w:val="24"/>
          <w:szCs w:val="22"/>
        </w:rPr>
        <w:t xml:space="preserve">. </w:t>
      </w:r>
      <w:r w:rsidR="00247994" w:rsidRPr="008C4566">
        <w:rPr>
          <w:rFonts w:ascii="Calibri" w:eastAsia="Calibri" w:hAnsi="Calibri" w:cs="Calibri"/>
          <w:sz w:val="24"/>
          <w:szCs w:val="22"/>
        </w:rPr>
        <w:t>The</w:t>
      </w:r>
      <w:r w:rsidR="00247994" w:rsidRPr="00292B62">
        <w:rPr>
          <w:rFonts w:ascii="Calibri" w:eastAsia="Calibri" w:hAnsi="Calibri" w:cs="Calibri"/>
          <w:sz w:val="24"/>
          <w:szCs w:val="22"/>
        </w:rPr>
        <w:t xml:space="preserve"> Council also considered the </w:t>
      </w:r>
      <w:r w:rsidR="00802FA8" w:rsidRPr="00292B62">
        <w:rPr>
          <w:rFonts w:ascii="Calibri" w:eastAsia="Calibri" w:hAnsi="Calibri" w:cs="Calibri"/>
          <w:sz w:val="24"/>
          <w:szCs w:val="22"/>
        </w:rPr>
        <w:t>two studies</w:t>
      </w:r>
      <w:r w:rsidR="00583913" w:rsidRPr="00292B62">
        <w:rPr>
          <w:rFonts w:ascii="Calibri" w:eastAsia="Calibri" w:hAnsi="Calibri" w:cs="Calibri"/>
          <w:sz w:val="24"/>
          <w:szCs w:val="22"/>
        </w:rPr>
        <w:t xml:space="preserve"> to have</w:t>
      </w:r>
      <w:r w:rsidR="00247994" w:rsidRPr="00292B62">
        <w:rPr>
          <w:rFonts w:ascii="Calibri" w:eastAsia="Calibri" w:hAnsi="Calibri" w:cs="Calibri"/>
          <w:sz w:val="24"/>
          <w:szCs w:val="22"/>
        </w:rPr>
        <w:t xml:space="preserve"> methodological limitations</w:t>
      </w:r>
      <w:r w:rsidR="000E5F23">
        <w:rPr>
          <w:rFonts w:ascii="Calibri" w:eastAsia="Calibri" w:hAnsi="Calibri" w:cs="Calibri"/>
          <w:sz w:val="24"/>
          <w:szCs w:val="22"/>
        </w:rPr>
        <w:t xml:space="preserve">, notably </w:t>
      </w:r>
      <w:r w:rsidR="000E5F23" w:rsidRPr="00CA0842">
        <w:rPr>
          <w:rFonts w:ascii="Calibri" w:eastAsia="Calibri" w:hAnsi="Calibri" w:cs="Calibri"/>
          <w:sz w:val="24"/>
          <w:szCs w:val="22"/>
        </w:rPr>
        <w:t xml:space="preserve">the </w:t>
      </w:r>
      <w:r w:rsidR="00802FA8" w:rsidRPr="00CA0842">
        <w:rPr>
          <w:rFonts w:ascii="Calibri" w:eastAsia="Calibri" w:hAnsi="Calibri" w:cs="Calibri"/>
          <w:sz w:val="24"/>
          <w:szCs w:val="22"/>
        </w:rPr>
        <w:t xml:space="preserve">potential </w:t>
      </w:r>
      <w:r w:rsidR="000E5F23" w:rsidRPr="00CA0842">
        <w:rPr>
          <w:rFonts w:ascii="Calibri" w:eastAsia="Calibri" w:hAnsi="Calibri" w:cs="Calibri"/>
          <w:sz w:val="24"/>
          <w:szCs w:val="22"/>
        </w:rPr>
        <w:t xml:space="preserve">for </w:t>
      </w:r>
      <w:r w:rsidR="00645BA4">
        <w:rPr>
          <w:rFonts w:ascii="Calibri" w:eastAsia="Calibri" w:hAnsi="Calibri" w:cs="Calibri"/>
          <w:sz w:val="24"/>
          <w:szCs w:val="22"/>
        </w:rPr>
        <w:t>misclassification</w:t>
      </w:r>
      <w:r w:rsidR="00802FA8" w:rsidRPr="00CA0842">
        <w:rPr>
          <w:rFonts w:ascii="Calibri" w:eastAsia="Calibri" w:hAnsi="Calibri" w:cs="Calibri"/>
          <w:sz w:val="24"/>
          <w:szCs w:val="22"/>
        </w:rPr>
        <w:t xml:space="preserve"> error</w:t>
      </w:r>
      <w:bookmarkStart w:id="37" w:name="_Toc415481412"/>
      <w:bookmarkStart w:id="38" w:name="_Toc415563751"/>
      <w:bookmarkEnd w:id="33"/>
      <w:r w:rsidR="000E5F23" w:rsidRPr="00CA0842">
        <w:rPr>
          <w:rFonts w:ascii="Calibri" w:eastAsia="Calibri" w:hAnsi="Calibri" w:cs="Calibri"/>
          <w:sz w:val="24"/>
          <w:szCs w:val="22"/>
        </w:rPr>
        <w:t xml:space="preserve"> through the lack of clinically confirmed </w:t>
      </w:r>
      <w:r w:rsidR="00322B4D" w:rsidRPr="00CA0842">
        <w:rPr>
          <w:rFonts w:ascii="Calibri" w:eastAsia="Calibri" w:hAnsi="Calibri" w:cs="Calibri"/>
          <w:sz w:val="24"/>
          <w:szCs w:val="22"/>
        </w:rPr>
        <w:t xml:space="preserve">diagnosis of </w:t>
      </w:r>
      <w:r w:rsidR="00474E2A">
        <w:rPr>
          <w:rFonts w:ascii="Calibri" w:eastAsia="Calibri" w:hAnsi="Calibri" w:cs="Calibri"/>
          <w:sz w:val="24"/>
          <w:szCs w:val="22"/>
        </w:rPr>
        <w:t>thyroid</w:t>
      </w:r>
      <w:r w:rsidR="00B00281" w:rsidRPr="00CA0842">
        <w:rPr>
          <w:rFonts w:ascii="Calibri" w:eastAsia="Calibri" w:hAnsi="Calibri" w:cs="Calibri"/>
          <w:sz w:val="24"/>
          <w:szCs w:val="22"/>
        </w:rPr>
        <w:t xml:space="preserve"> or posttraumatic stress disorder</w:t>
      </w:r>
      <w:r w:rsidR="008C4566">
        <w:rPr>
          <w:rFonts w:ascii="Calibri" w:eastAsia="Calibri" w:hAnsi="Calibri" w:cs="Calibri"/>
          <w:sz w:val="24"/>
          <w:szCs w:val="22"/>
        </w:rPr>
        <w:t xml:space="preserve"> and the inability across both studies to establish that posttraumatic</w:t>
      </w:r>
      <w:r w:rsidR="001E1277">
        <w:rPr>
          <w:rFonts w:ascii="Calibri" w:eastAsia="Calibri" w:hAnsi="Calibri" w:cs="Calibri"/>
          <w:sz w:val="24"/>
          <w:szCs w:val="22"/>
        </w:rPr>
        <w:t xml:space="preserve"> stress disorder was present</w:t>
      </w:r>
      <w:r w:rsidR="00CA0842">
        <w:rPr>
          <w:rFonts w:ascii="Calibri" w:eastAsia="Calibri" w:hAnsi="Calibri" w:cs="Calibri"/>
          <w:sz w:val="24"/>
          <w:szCs w:val="22"/>
        </w:rPr>
        <w:t xml:space="preserve"> </w:t>
      </w:r>
      <w:r w:rsidR="008D46FA">
        <w:rPr>
          <w:rFonts w:ascii="Calibri" w:eastAsia="Calibri" w:hAnsi="Calibri" w:cs="Calibri"/>
          <w:sz w:val="24"/>
          <w:szCs w:val="22"/>
        </w:rPr>
        <w:t>before</w:t>
      </w:r>
      <w:r w:rsidR="00CA0842">
        <w:rPr>
          <w:rFonts w:ascii="Calibri" w:eastAsia="Calibri" w:hAnsi="Calibri" w:cs="Calibri"/>
          <w:sz w:val="24"/>
          <w:szCs w:val="22"/>
        </w:rPr>
        <w:t xml:space="preserve"> the onset of hypothyroidism or thyroiditis</w:t>
      </w:r>
      <w:r w:rsidR="007A3055">
        <w:rPr>
          <w:rFonts w:ascii="Calibri" w:eastAsia="Calibri" w:hAnsi="Calibri" w:cs="Calibri"/>
          <w:sz w:val="24"/>
          <w:szCs w:val="22"/>
        </w:rPr>
        <w:t xml:space="preserve">. </w:t>
      </w:r>
      <w:r w:rsidR="008D46FA">
        <w:rPr>
          <w:rFonts w:ascii="Calibri" w:eastAsia="Calibri" w:hAnsi="Calibri" w:cs="Calibri"/>
          <w:sz w:val="24"/>
          <w:szCs w:val="22"/>
        </w:rPr>
        <w:t>For these reasons</w:t>
      </w:r>
      <w:r w:rsidR="001F1995">
        <w:rPr>
          <w:rFonts w:ascii="Calibri" w:eastAsia="Calibri" w:hAnsi="Calibri" w:cs="Calibri"/>
          <w:sz w:val="24"/>
          <w:szCs w:val="22"/>
        </w:rPr>
        <w:t>,</w:t>
      </w:r>
      <w:r w:rsidR="008D46FA">
        <w:rPr>
          <w:rFonts w:ascii="Calibri" w:eastAsia="Calibri" w:hAnsi="Calibri" w:cs="Calibri"/>
          <w:sz w:val="24"/>
          <w:szCs w:val="22"/>
        </w:rPr>
        <w:t xml:space="preserve"> the Council </w:t>
      </w:r>
      <w:r w:rsidR="001F1995">
        <w:rPr>
          <w:rFonts w:ascii="Calibri" w:eastAsia="Calibri" w:hAnsi="Calibri" w:cs="Calibri"/>
          <w:sz w:val="24"/>
          <w:szCs w:val="22"/>
        </w:rPr>
        <w:t xml:space="preserve">found insufficient evidence </w:t>
      </w:r>
      <w:r w:rsidR="00674CB2">
        <w:rPr>
          <w:rFonts w:ascii="Calibri" w:eastAsia="Calibri" w:hAnsi="Calibri" w:cs="Calibri"/>
          <w:sz w:val="24"/>
          <w:szCs w:val="22"/>
        </w:rPr>
        <w:t>to satisfy the balance of probabilities test requirements</w:t>
      </w:r>
      <w:r w:rsidR="001F1995">
        <w:rPr>
          <w:rFonts w:ascii="Calibri" w:eastAsia="Calibri" w:hAnsi="Calibri" w:cs="Calibri"/>
          <w:sz w:val="24"/>
          <w:szCs w:val="22"/>
        </w:rPr>
        <w:t>.</w:t>
      </w:r>
    </w:p>
    <w:p w14:paraId="10DE206E" w14:textId="6DB4C243" w:rsidR="00E247D8" w:rsidRPr="00D6551E" w:rsidRDefault="001F1995" w:rsidP="00D6551E">
      <w:pPr>
        <w:pStyle w:val="ListParagraph"/>
        <w:ind w:left="720"/>
        <w:rPr>
          <w:rFonts w:eastAsia="Calibri"/>
        </w:rPr>
      </w:pPr>
      <w:r>
        <w:rPr>
          <w:rFonts w:ascii="Calibri" w:eastAsia="Calibri" w:hAnsi="Calibri" w:cs="Calibri"/>
          <w:sz w:val="24"/>
          <w:szCs w:val="22"/>
        </w:rPr>
        <w:t xml:space="preserve"> </w:t>
      </w:r>
    </w:p>
    <w:p w14:paraId="024F7990" w14:textId="0F654865" w:rsidR="00FD5631" w:rsidRPr="006E1170" w:rsidRDefault="006D7FF4" w:rsidP="006A1945">
      <w:pPr>
        <w:pStyle w:val="ListParagraph"/>
        <w:numPr>
          <w:ilvl w:val="0"/>
          <w:numId w:val="21"/>
        </w:numPr>
        <w:rPr>
          <w:rFonts w:eastAsia="Calibri"/>
        </w:rPr>
      </w:pPr>
      <w:r w:rsidRPr="006E1170">
        <w:rPr>
          <w:rFonts w:ascii="Calibri" w:eastAsia="Calibri" w:hAnsi="Calibri" w:cs="Calibri"/>
          <w:sz w:val="24"/>
          <w:szCs w:val="22"/>
        </w:rPr>
        <w:t>Furthermore</w:t>
      </w:r>
      <w:r w:rsidR="00AA4BFF" w:rsidRPr="006E1170">
        <w:rPr>
          <w:rFonts w:ascii="Calibri" w:eastAsia="Calibri" w:hAnsi="Calibri" w:cs="Calibri"/>
          <w:sz w:val="24"/>
          <w:szCs w:val="22"/>
        </w:rPr>
        <w:t xml:space="preserve">, </w:t>
      </w:r>
      <w:r w:rsidRPr="006E1170">
        <w:rPr>
          <w:rFonts w:ascii="Calibri" w:eastAsia="Calibri" w:hAnsi="Calibri" w:cs="Calibri"/>
          <w:sz w:val="24"/>
          <w:szCs w:val="22"/>
        </w:rPr>
        <w:t xml:space="preserve">as </w:t>
      </w:r>
      <w:r w:rsidR="00050E4C" w:rsidRPr="006E1170">
        <w:rPr>
          <w:rFonts w:ascii="Calibri" w:eastAsia="Calibri" w:hAnsi="Calibri" w:cs="Calibri"/>
          <w:sz w:val="24"/>
          <w:szCs w:val="22"/>
        </w:rPr>
        <w:t xml:space="preserve">it could not be </w:t>
      </w:r>
      <w:r w:rsidR="00BE3434" w:rsidRPr="006E1170">
        <w:rPr>
          <w:rFonts w:ascii="Calibri" w:eastAsia="Calibri" w:hAnsi="Calibri" w:cs="Calibri"/>
          <w:sz w:val="24"/>
          <w:szCs w:val="22"/>
        </w:rPr>
        <w:t>confirmed</w:t>
      </w:r>
      <w:r w:rsidR="00050E4C" w:rsidRPr="006E1170">
        <w:rPr>
          <w:rFonts w:ascii="Calibri" w:eastAsia="Calibri" w:hAnsi="Calibri" w:cs="Calibri"/>
          <w:sz w:val="24"/>
          <w:szCs w:val="22"/>
        </w:rPr>
        <w:t xml:space="preserve"> </w:t>
      </w:r>
      <w:r w:rsidR="001A7B21" w:rsidRPr="006E1170">
        <w:rPr>
          <w:rFonts w:ascii="Calibri" w:eastAsia="Calibri" w:hAnsi="Calibri" w:cs="Calibri"/>
          <w:sz w:val="24"/>
          <w:szCs w:val="22"/>
        </w:rPr>
        <w:t xml:space="preserve">in the reviewed </w:t>
      </w:r>
      <w:r w:rsidR="002965B0" w:rsidRPr="006E1170">
        <w:rPr>
          <w:rFonts w:ascii="Calibri" w:eastAsia="Calibri" w:hAnsi="Calibri" w:cs="Calibri"/>
          <w:sz w:val="24"/>
          <w:szCs w:val="22"/>
        </w:rPr>
        <w:t>studies</w:t>
      </w:r>
      <w:r w:rsidR="00050E4C" w:rsidRPr="006E1170">
        <w:rPr>
          <w:rFonts w:ascii="Calibri" w:eastAsia="Calibri" w:hAnsi="Calibri" w:cs="Calibri"/>
          <w:sz w:val="24"/>
          <w:szCs w:val="22"/>
        </w:rPr>
        <w:t xml:space="preserve"> that</w:t>
      </w:r>
      <w:r w:rsidR="00A81597" w:rsidRPr="006E1170">
        <w:rPr>
          <w:rFonts w:ascii="Calibri" w:eastAsia="Calibri" w:hAnsi="Calibri" w:cs="Calibri"/>
          <w:sz w:val="24"/>
          <w:szCs w:val="22"/>
        </w:rPr>
        <w:t xml:space="preserve"> </w:t>
      </w:r>
      <w:r w:rsidR="00D73AEB" w:rsidRPr="006E1170">
        <w:rPr>
          <w:rFonts w:ascii="Calibri" w:eastAsia="Calibri" w:hAnsi="Calibri" w:cs="Calibri"/>
          <w:sz w:val="24"/>
          <w:szCs w:val="22"/>
        </w:rPr>
        <w:t xml:space="preserve">posttraumatic stress disorder </w:t>
      </w:r>
      <w:r w:rsidR="00050E4C" w:rsidRPr="006E1170">
        <w:rPr>
          <w:rFonts w:ascii="Calibri" w:eastAsia="Calibri" w:hAnsi="Calibri" w:cs="Calibri"/>
          <w:sz w:val="24"/>
          <w:szCs w:val="22"/>
        </w:rPr>
        <w:t xml:space="preserve">was present </w:t>
      </w:r>
      <w:r w:rsidR="00BE3434" w:rsidRPr="006E1170">
        <w:rPr>
          <w:rFonts w:ascii="Calibri" w:eastAsia="Calibri" w:hAnsi="Calibri" w:cs="Calibri"/>
          <w:sz w:val="24"/>
          <w:szCs w:val="22"/>
        </w:rPr>
        <w:t>before</w:t>
      </w:r>
      <w:r w:rsidR="00D73AEB" w:rsidRPr="006E1170">
        <w:rPr>
          <w:rFonts w:ascii="Calibri" w:eastAsia="Calibri" w:hAnsi="Calibri" w:cs="Calibri"/>
          <w:sz w:val="24"/>
          <w:szCs w:val="22"/>
        </w:rPr>
        <w:t xml:space="preserve"> the </w:t>
      </w:r>
      <w:r w:rsidR="00F20861" w:rsidRPr="006E1170">
        <w:rPr>
          <w:rFonts w:ascii="Calibri" w:eastAsia="Calibri" w:hAnsi="Calibri" w:cs="Calibri"/>
          <w:sz w:val="24"/>
          <w:szCs w:val="22"/>
        </w:rPr>
        <w:t xml:space="preserve">development of hypothyroidism or thyroiditis, </w:t>
      </w:r>
      <w:r w:rsidR="00C71DEE" w:rsidRPr="006E1170">
        <w:rPr>
          <w:rFonts w:ascii="Calibri" w:eastAsia="Calibri" w:hAnsi="Calibri" w:cs="Calibri"/>
          <w:sz w:val="24"/>
          <w:szCs w:val="22"/>
        </w:rPr>
        <w:t>the Council found insufficient evidence available to amend the</w:t>
      </w:r>
      <w:r w:rsidR="00BD1A8F" w:rsidRPr="006E1170">
        <w:rPr>
          <w:rFonts w:ascii="Calibri" w:eastAsia="Calibri" w:hAnsi="Calibri" w:cs="Calibri"/>
          <w:sz w:val="24"/>
          <w:szCs w:val="22"/>
        </w:rPr>
        <w:t xml:space="preserve"> wording of</w:t>
      </w:r>
      <w:r w:rsidR="00C17A30" w:rsidRPr="006E1170">
        <w:rPr>
          <w:rFonts w:ascii="Calibri" w:eastAsia="Calibri" w:hAnsi="Calibri" w:cs="Calibri"/>
          <w:sz w:val="24"/>
          <w:szCs w:val="22"/>
        </w:rPr>
        <w:t xml:space="preserve"> factors</w:t>
      </w:r>
      <w:r w:rsidR="00BD1A8F" w:rsidRPr="006E1170">
        <w:rPr>
          <w:rFonts w:ascii="Calibri" w:eastAsia="Calibri" w:hAnsi="Calibri" w:cs="Calibri"/>
          <w:sz w:val="24"/>
          <w:szCs w:val="22"/>
        </w:rPr>
        <w:t xml:space="preserve"> (9) and (19)</w:t>
      </w:r>
      <w:r w:rsidR="007100F1" w:rsidRPr="006E1170">
        <w:rPr>
          <w:rFonts w:ascii="Calibri" w:eastAsia="Calibri" w:hAnsi="Calibri" w:cs="Calibri"/>
          <w:sz w:val="24"/>
          <w:szCs w:val="22"/>
        </w:rPr>
        <w:t xml:space="preserve"> of Statement of Principles</w:t>
      </w:r>
      <w:r w:rsidR="00F7387E" w:rsidRPr="006E1170">
        <w:rPr>
          <w:rFonts w:ascii="Calibri" w:eastAsia="Calibri" w:hAnsi="Calibri" w:cs="Calibri"/>
          <w:sz w:val="24"/>
          <w:szCs w:val="22"/>
        </w:rPr>
        <w:t xml:space="preserve"> (No</w:t>
      </w:r>
      <w:r w:rsidR="002C18EC" w:rsidRPr="006E1170">
        <w:rPr>
          <w:rFonts w:ascii="Calibri" w:eastAsia="Calibri" w:hAnsi="Calibri" w:cs="Calibri"/>
          <w:sz w:val="24"/>
          <w:szCs w:val="22"/>
        </w:rPr>
        <w:t>. 1 of 2022)</w:t>
      </w:r>
      <w:r w:rsidR="00C17A30" w:rsidRPr="006E1170">
        <w:rPr>
          <w:rFonts w:ascii="Calibri" w:eastAsia="Calibri" w:hAnsi="Calibri" w:cs="Calibri"/>
          <w:sz w:val="24"/>
          <w:szCs w:val="22"/>
        </w:rPr>
        <w:t xml:space="preserve"> </w:t>
      </w:r>
      <w:r w:rsidR="00E97DC1" w:rsidRPr="006E1170">
        <w:rPr>
          <w:rFonts w:ascii="Calibri" w:eastAsia="Calibri" w:hAnsi="Calibri" w:cs="Calibri"/>
          <w:sz w:val="24"/>
          <w:szCs w:val="22"/>
        </w:rPr>
        <w:t xml:space="preserve">to specify </w:t>
      </w:r>
      <w:r w:rsidR="00550E81" w:rsidRPr="006E1170">
        <w:rPr>
          <w:rFonts w:ascii="Calibri" w:eastAsia="Calibri" w:hAnsi="Calibri" w:cs="Calibri"/>
          <w:sz w:val="24"/>
          <w:szCs w:val="22"/>
        </w:rPr>
        <w:t>‘</w:t>
      </w:r>
      <w:r w:rsidR="00213EA7" w:rsidRPr="006E1170">
        <w:rPr>
          <w:rFonts w:ascii="Calibri" w:eastAsia="Calibri" w:hAnsi="Calibri" w:cs="Calibri"/>
          <w:sz w:val="24"/>
          <w:szCs w:val="22"/>
        </w:rPr>
        <w:t xml:space="preserve">having posttraumatic stress disorder before the </w:t>
      </w:r>
      <w:r w:rsidR="00BE3434" w:rsidRPr="006E1170">
        <w:rPr>
          <w:rFonts w:ascii="Calibri" w:eastAsia="Calibri" w:hAnsi="Calibri" w:cs="Calibri"/>
          <w:sz w:val="24"/>
          <w:szCs w:val="22"/>
        </w:rPr>
        <w:t>onset</w:t>
      </w:r>
      <w:r w:rsidR="00574AAC" w:rsidRPr="006E1170">
        <w:rPr>
          <w:rFonts w:ascii="Calibri" w:eastAsia="Calibri" w:hAnsi="Calibri" w:cs="Calibri"/>
          <w:sz w:val="24"/>
          <w:szCs w:val="22"/>
        </w:rPr>
        <w:t xml:space="preserve"> (or </w:t>
      </w:r>
      <w:r w:rsidR="00550E81" w:rsidRPr="006E1170">
        <w:rPr>
          <w:rFonts w:ascii="Calibri" w:eastAsia="Calibri" w:hAnsi="Calibri" w:cs="Calibri"/>
          <w:sz w:val="24"/>
          <w:szCs w:val="22"/>
        </w:rPr>
        <w:t>worsening</w:t>
      </w:r>
      <w:r w:rsidR="00574AAC" w:rsidRPr="006E1170">
        <w:rPr>
          <w:rFonts w:ascii="Calibri" w:eastAsia="Calibri" w:hAnsi="Calibri" w:cs="Calibri"/>
          <w:sz w:val="24"/>
          <w:szCs w:val="22"/>
        </w:rPr>
        <w:t>)</w:t>
      </w:r>
      <w:r w:rsidR="00550E81" w:rsidRPr="006E1170">
        <w:rPr>
          <w:rFonts w:ascii="Calibri" w:eastAsia="Calibri" w:hAnsi="Calibri" w:cs="Calibri"/>
          <w:sz w:val="24"/>
          <w:szCs w:val="22"/>
        </w:rPr>
        <w:t>’</w:t>
      </w:r>
      <w:r w:rsidR="00213EA7" w:rsidRPr="006E1170">
        <w:rPr>
          <w:rFonts w:ascii="Calibri" w:eastAsia="Calibri" w:hAnsi="Calibri" w:cs="Calibri"/>
          <w:sz w:val="24"/>
          <w:szCs w:val="22"/>
        </w:rPr>
        <w:t xml:space="preserve"> </w:t>
      </w:r>
      <w:r w:rsidR="000F2537" w:rsidRPr="006E1170">
        <w:rPr>
          <w:rFonts w:ascii="Calibri" w:eastAsia="Calibri" w:hAnsi="Calibri" w:cs="Calibri"/>
          <w:sz w:val="24"/>
          <w:szCs w:val="22"/>
        </w:rPr>
        <w:t xml:space="preserve">instead of </w:t>
      </w:r>
      <w:r w:rsidR="00550E81" w:rsidRPr="006E1170">
        <w:rPr>
          <w:rFonts w:ascii="Calibri" w:eastAsia="Calibri" w:hAnsi="Calibri" w:cs="Calibri"/>
          <w:sz w:val="24"/>
          <w:szCs w:val="22"/>
        </w:rPr>
        <w:t>‘</w:t>
      </w:r>
      <w:r w:rsidR="00574AAC" w:rsidRPr="006E1170">
        <w:rPr>
          <w:rFonts w:ascii="Calibri" w:eastAsia="Calibri" w:hAnsi="Calibri" w:cs="Calibri"/>
          <w:sz w:val="24"/>
          <w:szCs w:val="22"/>
        </w:rPr>
        <w:t xml:space="preserve">having posttraumatic stress disorder </w:t>
      </w:r>
      <w:r w:rsidR="00626FA2" w:rsidRPr="006E1170">
        <w:rPr>
          <w:rFonts w:ascii="Calibri" w:eastAsia="Calibri" w:hAnsi="Calibri" w:cs="Calibri"/>
          <w:sz w:val="24"/>
          <w:szCs w:val="22"/>
        </w:rPr>
        <w:t>at the time of clinical onset (or worsening)</w:t>
      </w:r>
      <w:r w:rsidR="00550E81" w:rsidRPr="006E1170">
        <w:rPr>
          <w:rFonts w:ascii="Calibri" w:eastAsia="Calibri" w:hAnsi="Calibri" w:cs="Calibri"/>
          <w:sz w:val="24"/>
          <w:szCs w:val="22"/>
        </w:rPr>
        <w:t>’</w:t>
      </w:r>
      <w:r w:rsidR="007A3055" w:rsidRPr="006E1170">
        <w:rPr>
          <w:rFonts w:ascii="Calibri" w:eastAsia="Calibri" w:hAnsi="Calibri" w:cs="Calibri"/>
          <w:sz w:val="24"/>
          <w:szCs w:val="22"/>
        </w:rPr>
        <w:t xml:space="preserve">. </w:t>
      </w:r>
      <w:r w:rsidR="00C71DEE" w:rsidRPr="006E1170">
        <w:rPr>
          <w:rFonts w:ascii="Calibri" w:eastAsia="Calibri" w:hAnsi="Calibri" w:cs="Calibri"/>
          <w:sz w:val="24"/>
          <w:szCs w:val="22"/>
        </w:rPr>
        <w:t xml:space="preserve"> </w:t>
      </w:r>
    </w:p>
    <w:p w14:paraId="54C0693A" w14:textId="77777777" w:rsidR="00292B62" w:rsidRPr="00292B62" w:rsidRDefault="00292B62" w:rsidP="00292B62">
      <w:pPr>
        <w:pStyle w:val="ListParagraph"/>
        <w:rPr>
          <w:rFonts w:eastAsia="Calibri"/>
        </w:rPr>
      </w:pPr>
    </w:p>
    <w:p w14:paraId="440A287F" w14:textId="77777777" w:rsidR="00292B62" w:rsidRPr="00292B62" w:rsidRDefault="00292B62" w:rsidP="00292B62">
      <w:pPr>
        <w:pStyle w:val="ListParagraph"/>
        <w:ind w:left="720"/>
        <w:rPr>
          <w:rFonts w:eastAsia="Calibri"/>
        </w:rPr>
      </w:pPr>
    </w:p>
    <w:p w14:paraId="5231540E" w14:textId="1D5B4C85" w:rsidR="00FD5631" w:rsidRDefault="00BB127D" w:rsidP="00FE374D">
      <w:pPr>
        <w:pStyle w:val="Heading1"/>
        <w:rPr>
          <w:rFonts w:eastAsia="Calibri"/>
        </w:rPr>
      </w:pPr>
      <w:bookmarkStart w:id="39" w:name="_Toc193702355"/>
      <w:r>
        <w:rPr>
          <w:rFonts w:eastAsia="Calibri"/>
        </w:rPr>
        <w:t>The Council’s analysis of new information</w:t>
      </w:r>
      <w:bookmarkEnd w:id="39"/>
    </w:p>
    <w:p w14:paraId="14C45AF0" w14:textId="6B1BD7A2" w:rsidR="00D90654" w:rsidRPr="004F365B" w:rsidRDefault="00292E34" w:rsidP="00292E34">
      <w:pPr>
        <w:numPr>
          <w:ilvl w:val="0"/>
          <w:numId w:val="21"/>
        </w:numPr>
        <w:spacing w:before="140" w:after="140" w:line="280" w:lineRule="atLeast"/>
        <w:rPr>
          <w:rFonts w:ascii="Calibri" w:hAnsi="Calibri" w:cs="Calibri"/>
          <w:sz w:val="24"/>
        </w:rPr>
      </w:pPr>
      <w:r w:rsidRPr="004F365B">
        <w:rPr>
          <w:rFonts w:ascii="Calibri" w:hAnsi="Calibri" w:cs="Calibri"/>
          <w:sz w:val="24"/>
        </w:rPr>
        <w:t xml:space="preserve">This section of the Reasons outlines the Council’s analysis of evidence that it considered related to </w:t>
      </w:r>
      <w:r w:rsidR="009D505F" w:rsidRPr="004F365B">
        <w:rPr>
          <w:rFonts w:ascii="Calibri" w:hAnsi="Calibri" w:cs="Calibri"/>
          <w:sz w:val="24"/>
        </w:rPr>
        <w:t xml:space="preserve">the scope of </w:t>
      </w:r>
      <w:r w:rsidR="00AB601F" w:rsidRPr="004F365B">
        <w:rPr>
          <w:rFonts w:ascii="Calibri" w:hAnsi="Calibri" w:cs="Calibri"/>
          <w:sz w:val="24"/>
        </w:rPr>
        <w:t>their</w:t>
      </w:r>
      <w:r w:rsidR="009D505F" w:rsidRPr="004F365B">
        <w:rPr>
          <w:rFonts w:ascii="Calibri" w:hAnsi="Calibri" w:cs="Calibri"/>
          <w:sz w:val="24"/>
        </w:rPr>
        <w:t xml:space="preserve"> review</w:t>
      </w:r>
      <w:r w:rsidRPr="004F365B">
        <w:rPr>
          <w:rFonts w:ascii="Calibri" w:hAnsi="Calibri" w:cs="Calibri"/>
          <w:sz w:val="24"/>
        </w:rPr>
        <w:t xml:space="preserve"> but was not available to (not before) the RMA at the relevant times</w:t>
      </w:r>
      <w:r w:rsidR="007A3055">
        <w:rPr>
          <w:rFonts w:ascii="Calibri" w:hAnsi="Calibri" w:cs="Calibri"/>
          <w:sz w:val="24"/>
        </w:rPr>
        <w:t xml:space="preserve">. </w:t>
      </w:r>
      <w:r w:rsidRPr="004F365B">
        <w:rPr>
          <w:rFonts w:ascii="Calibri" w:hAnsi="Calibri" w:cs="Calibri"/>
          <w:sz w:val="24"/>
        </w:rPr>
        <w:t xml:space="preserve"> </w:t>
      </w:r>
    </w:p>
    <w:p w14:paraId="567F9E79" w14:textId="2EC6B8E3" w:rsidR="008062CF" w:rsidRPr="008062CF" w:rsidRDefault="008062CF" w:rsidP="008062CF">
      <w:pPr>
        <w:numPr>
          <w:ilvl w:val="0"/>
          <w:numId w:val="21"/>
        </w:numPr>
        <w:spacing w:before="140" w:after="140" w:line="280" w:lineRule="atLeast"/>
        <w:rPr>
          <w:rFonts w:ascii="Calibri" w:hAnsi="Calibri" w:cs="Calibri"/>
          <w:sz w:val="24"/>
        </w:rPr>
      </w:pPr>
      <w:r w:rsidRPr="008062CF">
        <w:rPr>
          <w:rFonts w:ascii="Calibri" w:hAnsi="Calibri" w:cs="Calibri"/>
          <w:sz w:val="24"/>
        </w:rPr>
        <w:t xml:space="preserve">The Council has neither the capacity nor the jurisdiction to perform an investigative function, including undertaking a comprehensive literature search. However, because of the Councillors' specialist expertise in this kind of injury, disease or death, </w:t>
      </w:r>
      <w:r w:rsidR="00BB3C3E">
        <w:rPr>
          <w:rFonts w:ascii="Calibri" w:hAnsi="Calibri" w:cs="Calibri"/>
          <w:sz w:val="24"/>
        </w:rPr>
        <w:t xml:space="preserve">it </w:t>
      </w:r>
      <w:r w:rsidR="00BD12E0">
        <w:rPr>
          <w:rFonts w:ascii="Calibri" w:hAnsi="Calibri" w:cs="Calibri"/>
          <w:sz w:val="24"/>
        </w:rPr>
        <w:t>may be aware of</w:t>
      </w:r>
      <w:r w:rsidRPr="008062CF">
        <w:rPr>
          <w:rFonts w:ascii="Calibri" w:hAnsi="Calibri" w:cs="Calibri"/>
          <w:sz w:val="24"/>
        </w:rPr>
        <w:t xml:space="preserve"> information </w:t>
      </w:r>
      <w:r w:rsidR="00BB3C3E">
        <w:rPr>
          <w:rFonts w:ascii="Calibri" w:hAnsi="Calibri" w:cs="Calibri"/>
          <w:sz w:val="24"/>
        </w:rPr>
        <w:t>to</w:t>
      </w:r>
      <w:r w:rsidRPr="008062CF">
        <w:rPr>
          <w:rFonts w:ascii="Calibri" w:hAnsi="Calibri" w:cs="Calibri"/>
          <w:sz w:val="24"/>
        </w:rPr>
        <w:t xml:space="preserve"> consider on a preliminary basis.</w:t>
      </w:r>
    </w:p>
    <w:p w14:paraId="78EF5F52" w14:textId="2B2CFFF8" w:rsidR="008062CF" w:rsidRPr="008062CF" w:rsidRDefault="008062CF" w:rsidP="008062CF">
      <w:pPr>
        <w:numPr>
          <w:ilvl w:val="0"/>
          <w:numId w:val="21"/>
        </w:numPr>
        <w:spacing w:before="140" w:after="140" w:line="280" w:lineRule="atLeast"/>
        <w:rPr>
          <w:rFonts w:ascii="Calibri" w:hAnsi="Calibri" w:cs="Calibri"/>
          <w:sz w:val="24"/>
        </w:rPr>
      </w:pPr>
      <w:r w:rsidRPr="008062CF">
        <w:rPr>
          <w:rFonts w:ascii="Calibri" w:hAnsi="Calibri" w:cs="Calibri"/>
          <w:sz w:val="24"/>
        </w:rPr>
        <w:t xml:space="preserve">The Council </w:t>
      </w:r>
      <w:r w:rsidR="005140FA">
        <w:rPr>
          <w:rFonts w:ascii="Calibri" w:hAnsi="Calibri" w:cs="Calibri"/>
          <w:sz w:val="24"/>
        </w:rPr>
        <w:t>would only consider</w:t>
      </w:r>
      <w:r w:rsidRPr="008062CF">
        <w:rPr>
          <w:rFonts w:ascii="Calibri" w:hAnsi="Calibri" w:cs="Calibri"/>
          <w:sz w:val="24"/>
        </w:rPr>
        <w:t xml:space="preserve"> new information to determine whether, in the Council's view, it warranted the Council making any recommendations to the RMA under section 196</w:t>
      </w:r>
      <w:proofErr w:type="gramStart"/>
      <w:r w:rsidRPr="008062CF">
        <w:rPr>
          <w:rFonts w:ascii="Calibri" w:hAnsi="Calibri" w:cs="Calibri"/>
          <w:sz w:val="24"/>
        </w:rPr>
        <w:t>W(</w:t>
      </w:r>
      <w:proofErr w:type="gramEnd"/>
      <w:r w:rsidRPr="008062CF">
        <w:rPr>
          <w:rFonts w:ascii="Calibri" w:hAnsi="Calibri" w:cs="Calibri"/>
          <w:sz w:val="24"/>
        </w:rPr>
        <w:t xml:space="preserve">5) of the VEA. </w:t>
      </w:r>
    </w:p>
    <w:p w14:paraId="1228C50D" w14:textId="77777777" w:rsidR="008062CF" w:rsidRPr="008062CF" w:rsidRDefault="008062CF" w:rsidP="008062CF">
      <w:pPr>
        <w:numPr>
          <w:ilvl w:val="0"/>
          <w:numId w:val="21"/>
        </w:numPr>
        <w:spacing w:before="140" w:after="140" w:line="280" w:lineRule="atLeast"/>
        <w:rPr>
          <w:rFonts w:ascii="Calibri" w:hAnsi="Calibri" w:cs="Calibri"/>
          <w:sz w:val="24"/>
        </w:rPr>
      </w:pPr>
      <w:r w:rsidRPr="008062CF">
        <w:rPr>
          <w:rFonts w:ascii="Calibri" w:hAnsi="Calibri" w:cs="Calibri"/>
          <w:sz w:val="24"/>
        </w:rPr>
        <w:lastRenderedPageBreak/>
        <w:t>In the Council's view, any such recommendation should only be made by the Council if it formed the view that the new information comprised sound medical-scientific evidence as defined in section 5</w:t>
      </w:r>
      <w:proofErr w:type="gramStart"/>
      <w:r w:rsidRPr="008062CF">
        <w:rPr>
          <w:rFonts w:ascii="Calibri" w:hAnsi="Calibri" w:cs="Calibri"/>
          <w:sz w:val="24"/>
        </w:rPr>
        <w:t>AB(</w:t>
      </w:r>
      <w:proofErr w:type="gramEnd"/>
      <w:r w:rsidRPr="008062CF">
        <w:rPr>
          <w:rFonts w:ascii="Calibri" w:hAnsi="Calibri" w:cs="Calibri"/>
          <w:sz w:val="24"/>
        </w:rPr>
        <w:t>2) of the VEA and:</w:t>
      </w:r>
    </w:p>
    <w:p w14:paraId="411C4BBB" w14:textId="77777777" w:rsidR="008062CF" w:rsidRPr="008062CF" w:rsidRDefault="008062CF" w:rsidP="008062CF">
      <w:pPr>
        <w:spacing w:before="140" w:after="140" w:line="280" w:lineRule="atLeast"/>
        <w:ind w:left="720"/>
        <w:rPr>
          <w:rFonts w:ascii="Calibri" w:hAnsi="Calibri" w:cs="Calibri"/>
          <w:sz w:val="24"/>
        </w:rPr>
      </w:pPr>
      <w:r w:rsidRPr="008062CF">
        <w:rPr>
          <w:rFonts w:ascii="Calibri" w:hAnsi="Calibri" w:cs="Calibri"/>
          <w:sz w:val="24"/>
        </w:rPr>
        <w:t>-</w:t>
      </w:r>
      <w:r w:rsidRPr="008062CF">
        <w:rPr>
          <w:rFonts w:ascii="Calibri" w:hAnsi="Calibri" w:cs="Calibri"/>
          <w:sz w:val="24"/>
        </w:rPr>
        <w:tab/>
        <w:t xml:space="preserve">in the Council's view, 'touched on' (was relevant to) the contended factor; and </w:t>
      </w:r>
    </w:p>
    <w:p w14:paraId="75920DC3" w14:textId="77777777" w:rsidR="008062CF" w:rsidRPr="008062CF" w:rsidRDefault="008062CF" w:rsidP="008062CF">
      <w:pPr>
        <w:spacing w:before="140" w:after="140" w:line="280" w:lineRule="atLeast"/>
        <w:ind w:left="720"/>
        <w:rPr>
          <w:rFonts w:ascii="Calibri" w:hAnsi="Calibri" w:cs="Calibri"/>
          <w:sz w:val="24"/>
        </w:rPr>
      </w:pPr>
      <w:r w:rsidRPr="008062CF">
        <w:rPr>
          <w:rFonts w:ascii="Calibri" w:hAnsi="Calibri" w:cs="Calibri"/>
          <w:sz w:val="24"/>
        </w:rPr>
        <w:t xml:space="preserve">- </w:t>
      </w:r>
      <w:r w:rsidRPr="008062CF">
        <w:rPr>
          <w:rFonts w:ascii="Calibri" w:hAnsi="Calibri" w:cs="Calibri"/>
          <w:sz w:val="24"/>
        </w:rPr>
        <w:tab/>
        <w:t>could potentially satisfy the reasonable hypothesis and/or balance of probabilities tests.</w:t>
      </w:r>
    </w:p>
    <w:p w14:paraId="4F7360D7" w14:textId="0E18AF85" w:rsidR="00C77EFF" w:rsidRDefault="00985E90" w:rsidP="00C77EFF">
      <w:pPr>
        <w:numPr>
          <w:ilvl w:val="0"/>
          <w:numId w:val="21"/>
        </w:numPr>
        <w:spacing w:before="140" w:after="140" w:line="280" w:lineRule="atLeast"/>
        <w:rPr>
          <w:rFonts w:eastAsia="Calibri"/>
        </w:rPr>
      </w:pPr>
      <w:r>
        <w:rPr>
          <w:rFonts w:ascii="Calibri" w:hAnsi="Calibri" w:cs="Calibri"/>
          <w:sz w:val="24"/>
        </w:rPr>
        <w:t>The</w:t>
      </w:r>
      <w:r w:rsidR="008062CF" w:rsidRPr="007A4DCF">
        <w:rPr>
          <w:rFonts w:ascii="Calibri" w:hAnsi="Calibri" w:cs="Calibri"/>
          <w:sz w:val="24"/>
        </w:rPr>
        <w:t xml:space="preserve"> Council </w:t>
      </w:r>
      <w:r w:rsidR="00A52559">
        <w:rPr>
          <w:rFonts w:ascii="Calibri" w:hAnsi="Calibri" w:cs="Calibri"/>
          <w:sz w:val="24"/>
        </w:rPr>
        <w:t>was</w:t>
      </w:r>
      <w:r w:rsidR="008062CF" w:rsidRPr="007A4DCF">
        <w:rPr>
          <w:rFonts w:ascii="Calibri" w:hAnsi="Calibri" w:cs="Calibri"/>
          <w:sz w:val="24"/>
        </w:rPr>
        <w:t xml:space="preserve"> </w:t>
      </w:r>
      <w:r w:rsidR="001C392E">
        <w:rPr>
          <w:rFonts w:ascii="Calibri" w:hAnsi="Calibri" w:cs="Calibri"/>
          <w:sz w:val="24"/>
        </w:rPr>
        <w:t>unaware</w:t>
      </w:r>
      <w:r w:rsidR="00AF5D2E">
        <w:rPr>
          <w:rFonts w:ascii="Calibri" w:hAnsi="Calibri" w:cs="Calibri"/>
          <w:sz w:val="24"/>
        </w:rPr>
        <w:t xml:space="preserve"> of information</w:t>
      </w:r>
      <w:r w:rsidR="007A4DCF" w:rsidRPr="007A4DCF">
        <w:rPr>
          <w:rFonts w:ascii="Calibri" w:hAnsi="Calibri" w:cs="Calibri"/>
          <w:sz w:val="24"/>
        </w:rPr>
        <w:t xml:space="preserve"> </w:t>
      </w:r>
      <w:r w:rsidR="00166E72">
        <w:rPr>
          <w:rFonts w:ascii="Calibri" w:hAnsi="Calibri" w:cs="Calibri"/>
          <w:sz w:val="24"/>
        </w:rPr>
        <w:t xml:space="preserve">that </w:t>
      </w:r>
      <w:r w:rsidR="00166E72" w:rsidRPr="00166E72">
        <w:rPr>
          <w:rFonts w:ascii="Calibri" w:hAnsi="Calibri" w:cs="Calibri"/>
          <w:sz w:val="24"/>
        </w:rPr>
        <w:t>was not available to (not before) the RMA at the relevant times</w:t>
      </w:r>
      <w:r>
        <w:rPr>
          <w:rFonts w:ascii="Calibri" w:hAnsi="Calibri" w:cs="Calibri"/>
          <w:sz w:val="24"/>
        </w:rPr>
        <w:t xml:space="preserve"> </w:t>
      </w:r>
      <w:r w:rsidR="007A4DCF" w:rsidRPr="007A4DCF">
        <w:rPr>
          <w:rFonts w:ascii="Calibri" w:hAnsi="Calibri" w:cs="Calibri"/>
          <w:sz w:val="24"/>
        </w:rPr>
        <w:t>that would alter the</w:t>
      </w:r>
      <w:r w:rsidR="00AA6F6C">
        <w:rPr>
          <w:rFonts w:ascii="Calibri" w:hAnsi="Calibri" w:cs="Calibri"/>
          <w:sz w:val="24"/>
        </w:rPr>
        <w:t xml:space="preserve"> </w:t>
      </w:r>
      <w:r w:rsidR="00A52559">
        <w:rPr>
          <w:rFonts w:ascii="Calibri" w:hAnsi="Calibri" w:cs="Calibri"/>
          <w:sz w:val="24"/>
        </w:rPr>
        <w:t>recommendations</w:t>
      </w:r>
      <w:r w:rsidR="007A4DCF" w:rsidRPr="007A4DCF">
        <w:rPr>
          <w:rFonts w:ascii="Calibri" w:hAnsi="Calibri" w:cs="Calibri"/>
          <w:sz w:val="24"/>
        </w:rPr>
        <w:t xml:space="preserve"> made </w:t>
      </w:r>
      <w:r>
        <w:rPr>
          <w:rFonts w:ascii="Calibri" w:hAnsi="Calibri" w:cs="Calibri"/>
          <w:sz w:val="24"/>
        </w:rPr>
        <w:t xml:space="preserve">by the Council </w:t>
      </w:r>
      <w:r w:rsidR="007A4DCF" w:rsidRPr="007A4DCF">
        <w:rPr>
          <w:rFonts w:ascii="Calibri" w:hAnsi="Calibri" w:cs="Calibri"/>
          <w:sz w:val="24"/>
        </w:rPr>
        <w:t>at this time</w:t>
      </w:r>
      <w:r w:rsidR="007A3055">
        <w:rPr>
          <w:rFonts w:ascii="Calibri" w:hAnsi="Calibri" w:cs="Calibri"/>
          <w:sz w:val="24"/>
        </w:rPr>
        <w:t xml:space="preserve">. </w:t>
      </w:r>
      <w:r w:rsidR="008062CF" w:rsidRPr="007A4DCF">
        <w:rPr>
          <w:rFonts w:ascii="Calibri" w:hAnsi="Calibri" w:cs="Calibri"/>
          <w:sz w:val="24"/>
        </w:rPr>
        <w:t xml:space="preserve"> </w:t>
      </w:r>
    </w:p>
    <w:p w14:paraId="696CD8BB" w14:textId="77777777" w:rsidR="00C77EFF" w:rsidRPr="00C77EFF" w:rsidRDefault="00C77EFF" w:rsidP="00C77EFF">
      <w:pPr>
        <w:spacing w:before="140" w:after="140" w:line="280" w:lineRule="atLeast"/>
        <w:ind w:left="720"/>
        <w:rPr>
          <w:rFonts w:eastAsia="Calibri"/>
        </w:rPr>
      </w:pPr>
    </w:p>
    <w:p w14:paraId="460ECB6A" w14:textId="3DF7457B" w:rsidR="00B528A3" w:rsidRPr="00F54093" w:rsidRDefault="00FE374D" w:rsidP="00FE374D">
      <w:pPr>
        <w:pStyle w:val="Heading1"/>
        <w:rPr>
          <w:rFonts w:eastAsia="Calibri"/>
          <w:iCs/>
          <w:lang w:eastAsia="en-US"/>
        </w:rPr>
      </w:pPr>
      <w:bookmarkStart w:id="40" w:name="_Toc193702356"/>
      <w:r w:rsidRPr="00F54093">
        <w:rPr>
          <w:rFonts w:eastAsia="Calibri"/>
        </w:rPr>
        <w:t>Decision</w:t>
      </w:r>
      <w:bookmarkEnd w:id="37"/>
      <w:bookmarkEnd w:id="38"/>
      <w:bookmarkEnd w:id="40"/>
      <w:r w:rsidRPr="00F54093">
        <w:rPr>
          <w:rFonts w:eastAsia="Calibri"/>
          <w:lang w:eastAsia="en-US"/>
        </w:rPr>
        <w:tab/>
      </w:r>
    </w:p>
    <w:p w14:paraId="460ECB6B" w14:textId="77777777" w:rsidR="00B528A3" w:rsidRPr="00F54093" w:rsidRDefault="00B528A3" w:rsidP="00B528A3">
      <w:pPr>
        <w:ind w:left="709"/>
        <w:rPr>
          <w:rFonts w:ascii="Calibri" w:eastAsia="Calibri" w:hAnsi="Calibri" w:cs="Calibri"/>
          <w:sz w:val="24"/>
        </w:rPr>
      </w:pPr>
    </w:p>
    <w:bookmarkEnd w:id="32"/>
    <w:p w14:paraId="58D9AE66" w14:textId="1E250E4A" w:rsidR="00FD5631" w:rsidRPr="00FD5631" w:rsidRDefault="00FD5631" w:rsidP="00FD5631">
      <w:pPr>
        <w:numPr>
          <w:ilvl w:val="0"/>
          <w:numId w:val="21"/>
        </w:numPr>
        <w:spacing w:before="140" w:after="140" w:line="280" w:lineRule="atLeast"/>
        <w:rPr>
          <w:rFonts w:ascii="Calibri" w:hAnsi="Calibri" w:cs="Calibri"/>
          <w:sz w:val="24"/>
        </w:rPr>
      </w:pPr>
      <w:r w:rsidRPr="00FD5631">
        <w:rPr>
          <w:rFonts w:ascii="Calibri" w:hAnsi="Calibri" w:cs="Calibri"/>
          <w:sz w:val="24"/>
        </w:rPr>
        <w:t xml:space="preserve">The Council made the declarations and recommendations summarised in </w:t>
      </w:r>
      <w:r w:rsidR="00AD5B59">
        <w:rPr>
          <w:rFonts w:ascii="Calibri" w:hAnsi="Calibri" w:cs="Calibri"/>
          <w:sz w:val="24"/>
        </w:rPr>
        <w:t xml:space="preserve">the </w:t>
      </w:r>
      <w:r w:rsidRPr="00FD5631">
        <w:rPr>
          <w:rFonts w:ascii="Calibri" w:hAnsi="Calibri" w:cs="Calibri"/>
          <w:sz w:val="24"/>
        </w:rPr>
        <w:t>Declaration and Reasons for Decisions.</w:t>
      </w:r>
    </w:p>
    <w:p w14:paraId="460ECB6D" w14:textId="77777777" w:rsidR="00B528A3" w:rsidRPr="00F54093" w:rsidRDefault="00B528A3" w:rsidP="00B528A3">
      <w:pPr>
        <w:widowControl w:val="0"/>
        <w:rPr>
          <w:rFonts w:ascii="Calibri" w:hAnsi="Calibri" w:cs="Calibri"/>
          <w:sz w:val="24"/>
        </w:rPr>
      </w:pPr>
    </w:p>
    <w:p w14:paraId="460ECB6F" w14:textId="68983340" w:rsidR="00B528A3" w:rsidRPr="00F54093" w:rsidRDefault="00B528A3" w:rsidP="00840255">
      <w:pPr>
        <w:keepNext/>
        <w:keepLines/>
        <w:spacing w:before="200" w:line="280" w:lineRule="atLeast"/>
        <w:outlineLvl w:val="1"/>
        <w:rPr>
          <w:rFonts w:ascii="Calibri" w:hAnsi="Calibri" w:cs="Calibri"/>
        </w:rPr>
      </w:pPr>
      <w:r w:rsidRPr="00F54093">
        <w:rPr>
          <w:rFonts w:ascii="Calibri" w:hAnsi="Calibri" w:cs="Calibri"/>
          <w:bCs/>
          <w:iCs/>
          <w:sz w:val="20"/>
          <w:szCs w:val="20"/>
        </w:rPr>
        <w:t xml:space="preserve"> </w:t>
      </w:r>
    </w:p>
    <w:p w14:paraId="292BDAF5" w14:textId="77777777" w:rsidR="00840255" w:rsidRDefault="00840255">
      <w:pPr>
        <w:rPr>
          <w:rFonts w:ascii="Calibri" w:eastAsia="Calibri" w:hAnsi="Calibri" w:cs="Calibri"/>
          <w:b/>
          <w:bCs/>
          <w:caps/>
          <w:kern w:val="32"/>
          <w:szCs w:val="22"/>
          <w:lang w:eastAsia="en-US"/>
        </w:rPr>
      </w:pPr>
      <w:r>
        <w:rPr>
          <w:rFonts w:eastAsia="Calibri"/>
          <w:lang w:eastAsia="en-US"/>
        </w:rPr>
        <w:br w:type="page"/>
      </w:r>
    </w:p>
    <w:p w14:paraId="460ECB70" w14:textId="7FCE51FA" w:rsidR="001A3BEC" w:rsidRPr="00840255" w:rsidRDefault="00840255" w:rsidP="00840255">
      <w:pPr>
        <w:pStyle w:val="Heading1"/>
        <w:rPr>
          <w:rFonts w:eastAsia="Calibri"/>
          <w:lang w:eastAsia="en-US"/>
        </w:rPr>
      </w:pPr>
      <w:bookmarkStart w:id="41" w:name="_Toc193702357"/>
      <w:r>
        <w:rPr>
          <w:rFonts w:eastAsia="Calibri"/>
          <w:lang w:eastAsia="en-US"/>
        </w:rPr>
        <w:lastRenderedPageBreak/>
        <w:t>References</w:t>
      </w:r>
      <w:bookmarkEnd w:id="41"/>
    </w:p>
    <w:bookmarkEnd w:id="9"/>
    <w:p w14:paraId="3FDE18F9" w14:textId="77777777" w:rsidR="00F25504" w:rsidRPr="00BC41F2" w:rsidRDefault="00F25504" w:rsidP="00ED7F05">
      <w:pPr>
        <w:rPr>
          <w:caps/>
        </w:rPr>
      </w:pPr>
    </w:p>
    <w:p w14:paraId="0B15E32B" w14:textId="7C8F26DB" w:rsidR="00C47310" w:rsidRPr="006D463C" w:rsidRDefault="00C47310" w:rsidP="00C47310">
      <w:pPr>
        <w:rPr>
          <w:rFonts w:ascii="Calibri" w:hAnsi="Calibri" w:cs="Calibri"/>
          <w:caps/>
          <w:sz w:val="24"/>
        </w:rPr>
      </w:pPr>
      <w:r w:rsidRPr="006D463C">
        <w:rPr>
          <w:rFonts w:ascii="Calibri" w:hAnsi="Calibri" w:cs="Calibri"/>
          <w:sz w:val="24"/>
        </w:rPr>
        <w:t xml:space="preserve">Boscarino JA (2004) </w:t>
      </w:r>
      <w:r w:rsidR="00857972">
        <w:rPr>
          <w:rFonts w:ascii="Calibri" w:hAnsi="Calibri" w:cs="Calibri"/>
          <w:sz w:val="24"/>
        </w:rPr>
        <w:t>‘</w:t>
      </w:r>
      <w:proofErr w:type="gramStart"/>
      <w:r w:rsidRPr="006D463C">
        <w:rPr>
          <w:rFonts w:ascii="Calibri" w:hAnsi="Calibri" w:cs="Calibri"/>
          <w:sz w:val="24"/>
        </w:rPr>
        <w:t>Posttraumatic stress disorder</w:t>
      </w:r>
      <w:proofErr w:type="gramEnd"/>
      <w:r w:rsidRPr="006D463C">
        <w:rPr>
          <w:rFonts w:ascii="Calibri" w:hAnsi="Calibri" w:cs="Calibri"/>
          <w:sz w:val="24"/>
        </w:rPr>
        <w:t xml:space="preserve"> and physical illness: results from clinical and epidemiologic studies</w:t>
      </w:r>
      <w:r w:rsidR="00495F3D">
        <w:rPr>
          <w:rFonts w:ascii="Calibri" w:hAnsi="Calibri" w:cs="Calibri"/>
          <w:sz w:val="24"/>
        </w:rPr>
        <w:t>’,</w:t>
      </w:r>
      <w:r w:rsidRPr="006D463C">
        <w:rPr>
          <w:rFonts w:ascii="Calibri" w:hAnsi="Calibri" w:cs="Calibri"/>
          <w:sz w:val="24"/>
        </w:rPr>
        <w:t xml:space="preserve"> </w:t>
      </w:r>
      <w:r w:rsidRPr="00E1318C">
        <w:rPr>
          <w:rFonts w:ascii="Calibri" w:hAnsi="Calibri" w:cs="Calibri"/>
          <w:i/>
          <w:iCs/>
          <w:sz w:val="24"/>
        </w:rPr>
        <w:t xml:space="preserve">Ann N Y </w:t>
      </w:r>
      <w:proofErr w:type="spellStart"/>
      <w:r w:rsidRPr="00E1318C">
        <w:rPr>
          <w:rFonts w:ascii="Calibri" w:hAnsi="Calibri" w:cs="Calibri"/>
          <w:i/>
          <w:iCs/>
          <w:sz w:val="24"/>
        </w:rPr>
        <w:t>Acad</w:t>
      </w:r>
      <w:proofErr w:type="spellEnd"/>
      <w:r w:rsidRPr="00E1318C">
        <w:rPr>
          <w:rFonts w:ascii="Calibri" w:hAnsi="Calibri" w:cs="Calibri"/>
          <w:i/>
          <w:iCs/>
          <w:sz w:val="24"/>
        </w:rPr>
        <w:t xml:space="preserve"> Sci</w:t>
      </w:r>
      <w:r w:rsidRPr="006D463C">
        <w:rPr>
          <w:rFonts w:ascii="Calibri" w:hAnsi="Calibri" w:cs="Calibri"/>
          <w:sz w:val="24"/>
        </w:rPr>
        <w:t xml:space="preserve">, 1032: 141-53. [RMA ID </w:t>
      </w:r>
      <w:r w:rsidR="006A32FA" w:rsidRPr="006D463C">
        <w:rPr>
          <w:rFonts w:ascii="Calibri" w:hAnsi="Calibri" w:cs="Calibri"/>
          <w:sz w:val="24"/>
        </w:rPr>
        <w:t>49509]</w:t>
      </w:r>
    </w:p>
    <w:p w14:paraId="35C25BB2" w14:textId="77777777" w:rsidR="0096369D" w:rsidRPr="006D463C" w:rsidRDefault="0096369D" w:rsidP="0096369D">
      <w:pPr>
        <w:rPr>
          <w:rFonts w:ascii="Calibri" w:hAnsi="Calibri" w:cs="Calibri"/>
          <w:caps/>
          <w:sz w:val="24"/>
        </w:rPr>
      </w:pPr>
    </w:p>
    <w:p w14:paraId="4B349C5A" w14:textId="1F2AB7DD" w:rsidR="0096369D" w:rsidRPr="006D463C" w:rsidRDefault="0096369D" w:rsidP="0096369D">
      <w:pPr>
        <w:rPr>
          <w:rFonts w:ascii="Calibri" w:hAnsi="Calibri" w:cs="Calibri"/>
          <w:caps/>
          <w:sz w:val="24"/>
        </w:rPr>
      </w:pPr>
      <w:r w:rsidRPr="006D463C">
        <w:rPr>
          <w:rFonts w:ascii="Calibri" w:hAnsi="Calibri" w:cs="Calibri"/>
          <w:sz w:val="24"/>
        </w:rPr>
        <w:t xml:space="preserve">Jung SJ, Kang JH, Roberts AL, et al (2019) </w:t>
      </w:r>
      <w:r w:rsidR="00495F3D">
        <w:rPr>
          <w:rFonts w:ascii="Calibri" w:hAnsi="Calibri" w:cs="Calibri"/>
          <w:sz w:val="24"/>
        </w:rPr>
        <w:t>‘</w:t>
      </w:r>
      <w:proofErr w:type="gramStart"/>
      <w:r w:rsidRPr="006D463C">
        <w:rPr>
          <w:rFonts w:ascii="Calibri" w:hAnsi="Calibri" w:cs="Calibri"/>
          <w:sz w:val="24"/>
        </w:rPr>
        <w:t>Posttraumatic stress disorder</w:t>
      </w:r>
      <w:proofErr w:type="gramEnd"/>
      <w:r w:rsidRPr="006D463C">
        <w:rPr>
          <w:rFonts w:ascii="Calibri" w:hAnsi="Calibri" w:cs="Calibri"/>
          <w:sz w:val="24"/>
        </w:rPr>
        <w:t xml:space="preserve"> and incidence of thyroid dysfunction in women</w:t>
      </w:r>
      <w:r w:rsidR="00495F3D">
        <w:rPr>
          <w:rFonts w:ascii="Calibri" w:hAnsi="Calibri" w:cs="Calibri"/>
          <w:sz w:val="24"/>
        </w:rPr>
        <w:t>’,</w:t>
      </w:r>
      <w:r w:rsidRPr="006D463C">
        <w:rPr>
          <w:rFonts w:ascii="Calibri" w:hAnsi="Calibri" w:cs="Calibri"/>
          <w:sz w:val="24"/>
        </w:rPr>
        <w:t xml:space="preserve"> </w:t>
      </w:r>
      <w:r w:rsidRPr="00E1318C">
        <w:rPr>
          <w:rFonts w:ascii="Calibri" w:hAnsi="Calibri" w:cs="Calibri"/>
          <w:i/>
          <w:iCs/>
          <w:sz w:val="24"/>
        </w:rPr>
        <w:t>Psychol Med</w:t>
      </w:r>
      <w:r w:rsidRPr="006D463C">
        <w:rPr>
          <w:rFonts w:ascii="Calibri" w:hAnsi="Calibri" w:cs="Calibri"/>
          <w:sz w:val="24"/>
        </w:rPr>
        <w:t>, 49(15): 2551-60. [RMA ID 102800]</w:t>
      </w:r>
    </w:p>
    <w:p w14:paraId="3C5EF50C" w14:textId="77777777" w:rsidR="0096369D" w:rsidRPr="006D463C" w:rsidRDefault="0096369D" w:rsidP="0096369D">
      <w:pPr>
        <w:rPr>
          <w:rFonts w:ascii="Calibri" w:hAnsi="Calibri" w:cs="Calibri"/>
          <w:sz w:val="24"/>
        </w:rPr>
      </w:pPr>
    </w:p>
    <w:p w14:paraId="1E0EF0F9" w14:textId="532EBE5D" w:rsidR="0096369D" w:rsidRPr="006D463C" w:rsidRDefault="0096369D" w:rsidP="0096369D">
      <w:pPr>
        <w:rPr>
          <w:rFonts w:ascii="Calibri" w:hAnsi="Calibri" w:cs="Calibri"/>
          <w:caps/>
          <w:sz w:val="24"/>
        </w:rPr>
      </w:pPr>
      <w:r w:rsidRPr="006D463C">
        <w:rPr>
          <w:rFonts w:ascii="Calibri" w:hAnsi="Calibri" w:cs="Calibri"/>
          <w:sz w:val="24"/>
        </w:rPr>
        <w:t xml:space="preserve">Kamoi K, Tanaka M, </w:t>
      </w:r>
      <w:proofErr w:type="spellStart"/>
      <w:r w:rsidRPr="006D463C">
        <w:rPr>
          <w:rFonts w:ascii="Calibri" w:hAnsi="Calibri" w:cs="Calibri"/>
          <w:sz w:val="24"/>
        </w:rPr>
        <w:t>Ikarashi</w:t>
      </w:r>
      <w:proofErr w:type="spellEnd"/>
      <w:r w:rsidRPr="006D463C">
        <w:rPr>
          <w:rFonts w:ascii="Calibri" w:hAnsi="Calibri" w:cs="Calibri"/>
          <w:sz w:val="24"/>
        </w:rPr>
        <w:t xml:space="preserve"> T, et al (2006) </w:t>
      </w:r>
      <w:r w:rsidR="00495F3D">
        <w:rPr>
          <w:rFonts w:ascii="Calibri" w:hAnsi="Calibri" w:cs="Calibri"/>
          <w:sz w:val="24"/>
        </w:rPr>
        <w:t>‘</w:t>
      </w:r>
      <w:r w:rsidRPr="006D463C">
        <w:rPr>
          <w:rFonts w:ascii="Calibri" w:hAnsi="Calibri" w:cs="Calibri"/>
          <w:sz w:val="24"/>
        </w:rPr>
        <w:t xml:space="preserve">Effect of the 2004 mid </w:t>
      </w:r>
      <w:proofErr w:type="spellStart"/>
      <w:r w:rsidRPr="006D463C">
        <w:rPr>
          <w:rFonts w:ascii="Calibri" w:hAnsi="Calibri" w:cs="Calibri"/>
          <w:sz w:val="24"/>
        </w:rPr>
        <w:t>niigata</w:t>
      </w:r>
      <w:proofErr w:type="spellEnd"/>
      <w:r w:rsidRPr="006D463C">
        <w:rPr>
          <w:rFonts w:ascii="Calibri" w:hAnsi="Calibri" w:cs="Calibri"/>
          <w:sz w:val="24"/>
        </w:rPr>
        <w:t xml:space="preserve"> prefecture earthquake on patients with endocrine disorders</w:t>
      </w:r>
      <w:r w:rsidR="00495F3D">
        <w:rPr>
          <w:rFonts w:ascii="Calibri" w:hAnsi="Calibri" w:cs="Calibri"/>
          <w:sz w:val="24"/>
        </w:rPr>
        <w:t>’,</w:t>
      </w:r>
      <w:r w:rsidRPr="006D463C">
        <w:rPr>
          <w:rFonts w:ascii="Calibri" w:hAnsi="Calibri" w:cs="Calibri"/>
          <w:sz w:val="24"/>
        </w:rPr>
        <w:t xml:space="preserve"> </w:t>
      </w:r>
      <w:proofErr w:type="spellStart"/>
      <w:r w:rsidRPr="00E1318C">
        <w:rPr>
          <w:rFonts w:ascii="Calibri" w:hAnsi="Calibri" w:cs="Calibri"/>
          <w:i/>
          <w:iCs/>
          <w:sz w:val="24"/>
        </w:rPr>
        <w:t>Endocr</w:t>
      </w:r>
      <w:proofErr w:type="spellEnd"/>
      <w:r w:rsidRPr="00E1318C">
        <w:rPr>
          <w:rFonts w:ascii="Calibri" w:hAnsi="Calibri" w:cs="Calibri"/>
          <w:i/>
          <w:iCs/>
          <w:sz w:val="24"/>
        </w:rPr>
        <w:t xml:space="preserve"> J</w:t>
      </w:r>
      <w:r w:rsidRPr="006D463C">
        <w:rPr>
          <w:rFonts w:ascii="Calibri" w:hAnsi="Calibri" w:cs="Calibri"/>
          <w:sz w:val="24"/>
        </w:rPr>
        <w:t>, 53(4): 511-21. [RMA ID 102801]</w:t>
      </w:r>
    </w:p>
    <w:p w14:paraId="1EB47014" w14:textId="77777777" w:rsidR="0096369D" w:rsidRPr="006D463C" w:rsidRDefault="0096369D" w:rsidP="0096369D">
      <w:pPr>
        <w:rPr>
          <w:rFonts w:ascii="Calibri" w:hAnsi="Calibri" w:cs="Calibri"/>
          <w:caps/>
          <w:sz w:val="24"/>
        </w:rPr>
      </w:pPr>
    </w:p>
    <w:p w14:paraId="21EBAAB9" w14:textId="02F3D030" w:rsidR="0096369D" w:rsidRPr="006D463C" w:rsidRDefault="0096369D" w:rsidP="0096369D">
      <w:pPr>
        <w:rPr>
          <w:rFonts w:ascii="Calibri" w:hAnsi="Calibri" w:cs="Calibri"/>
          <w:caps/>
          <w:sz w:val="24"/>
        </w:rPr>
      </w:pPr>
      <w:r w:rsidRPr="006D463C">
        <w:rPr>
          <w:rFonts w:ascii="Calibri" w:hAnsi="Calibri" w:cs="Calibri"/>
          <w:sz w:val="24"/>
        </w:rPr>
        <w:t xml:space="preserve">O'Donovan A, Cohen BE, Seal KH, et al (2015) </w:t>
      </w:r>
      <w:r w:rsidR="00495F3D">
        <w:rPr>
          <w:rFonts w:ascii="Calibri" w:hAnsi="Calibri" w:cs="Calibri"/>
          <w:sz w:val="24"/>
        </w:rPr>
        <w:t>‘</w:t>
      </w:r>
      <w:r w:rsidRPr="006D463C">
        <w:rPr>
          <w:rFonts w:ascii="Calibri" w:hAnsi="Calibri" w:cs="Calibri"/>
          <w:sz w:val="24"/>
        </w:rPr>
        <w:t>Elevated risk for autoimmune disorders in Iraq and Afghanistan veterans with posttraumatic stress disorder</w:t>
      </w:r>
      <w:r w:rsidR="00495F3D">
        <w:rPr>
          <w:rFonts w:ascii="Calibri" w:hAnsi="Calibri" w:cs="Calibri"/>
          <w:sz w:val="24"/>
        </w:rPr>
        <w:t>’,</w:t>
      </w:r>
      <w:r w:rsidRPr="006D463C">
        <w:rPr>
          <w:rFonts w:ascii="Calibri" w:hAnsi="Calibri" w:cs="Calibri"/>
          <w:sz w:val="24"/>
        </w:rPr>
        <w:t xml:space="preserve"> </w:t>
      </w:r>
      <w:r w:rsidRPr="00E1318C">
        <w:rPr>
          <w:rFonts w:ascii="Calibri" w:hAnsi="Calibri" w:cs="Calibri"/>
          <w:i/>
          <w:iCs/>
          <w:sz w:val="24"/>
        </w:rPr>
        <w:t>Biol Psychiatry</w:t>
      </w:r>
      <w:r w:rsidRPr="006D463C">
        <w:rPr>
          <w:rFonts w:ascii="Calibri" w:hAnsi="Calibri" w:cs="Calibri"/>
          <w:sz w:val="24"/>
        </w:rPr>
        <w:t xml:space="preserve">, 77(4): 365-74. [RMA ID 102934] </w:t>
      </w:r>
    </w:p>
    <w:p w14:paraId="250303A3" w14:textId="77777777" w:rsidR="006A32FA" w:rsidRPr="006D463C" w:rsidRDefault="006A32FA" w:rsidP="00C47310">
      <w:pPr>
        <w:rPr>
          <w:rFonts w:ascii="Calibri" w:hAnsi="Calibri" w:cs="Calibri"/>
          <w:caps/>
          <w:sz w:val="24"/>
        </w:rPr>
      </w:pPr>
    </w:p>
    <w:p w14:paraId="4CDB0D66" w14:textId="6662B0A3" w:rsidR="002D15EF" w:rsidRPr="006D463C" w:rsidRDefault="002D15EF" w:rsidP="0096369D">
      <w:pPr>
        <w:rPr>
          <w:rFonts w:ascii="Calibri" w:hAnsi="Calibri" w:cs="Calibri"/>
          <w:sz w:val="24"/>
        </w:rPr>
      </w:pPr>
      <w:r w:rsidRPr="006D463C">
        <w:rPr>
          <w:rFonts w:ascii="Calibri" w:hAnsi="Calibri" w:cs="Calibri"/>
          <w:sz w:val="24"/>
        </w:rPr>
        <w:t xml:space="preserve">Song H, Fang F, Tomasson G, et al (2018) </w:t>
      </w:r>
      <w:r w:rsidR="00495F3D">
        <w:rPr>
          <w:rFonts w:ascii="Calibri" w:hAnsi="Calibri" w:cs="Calibri"/>
          <w:sz w:val="24"/>
        </w:rPr>
        <w:t>‘</w:t>
      </w:r>
      <w:r w:rsidRPr="006D463C">
        <w:rPr>
          <w:rFonts w:ascii="Calibri" w:hAnsi="Calibri" w:cs="Calibri"/>
          <w:sz w:val="24"/>
        </w:rPr>
        <w:t>Association of stress-related disorders with subsequent autoimmune disease</w:t>
      </w:r>
      <w:r w:rsidR="00495F3D">
        <w:rPr>
          <w:rFonts w:ascii="Calibri" w:hAnsi="Calibri" w:cs="Calibri"/>
          <w:sz w:val="24"/>
        </w:rPr>
        <w:t>’</w:t>
      </w:r>
      <w:r w:rsidR="002D492B">
        <w:rPr>
          <w:rFonts w:ascii="Calibri" w:hAnsi="Calibri" w:cs="Calibri"/>
          <w:sz w:val="24"/>
        </w:rPr>
        <w:t>,</w:t>
      </w:r>
      <w:r w:rsidRPr="006D463C">
        <w:rPr>
          <w:rFonts w:ascii="Calibri" w:hAnsi="Calibri" w:cs="Calibri"/>
          <w:sz w:val="24"/>
        </w:rPr>
        <w:t xml:space="preserve"> </w:t>
      </w:r>
      <w:r w:rsidRPr="00E1318C">
        <w:rPr>
          <w:rFonts w:ascii="Calibri" w:hAnsi="Calibri" w:cs="Calibri"/>
          <w:i/>
          <w:iCs/>
          <w:sz w:val="24"/>
        </w:rPr>
        <w:t>JAMA</w:t>
      </w:r>
      <w:r w:rsidRPr="006D463C">
        <w:rPr>
          <w:rFonts w:ascii="Calibri" w:hAnsi="Calibri" w:cs="Calibri"/>
          <w:sz w:val="24"/>
        </w:rPr>
        <w:t xml:space="preserve">, 319(23): 2388-400. [RMA ID </w:t>
      </w:r>
      <w:r w:rsidR="006D463C" w:rsidRPr="006D463C">
        <w:rPr>
          <w:rFonts w:ascii="Calibri" w:hAnsi="Calibri" w:cs="Calibri"/>
          <w:sz w:val="24"/>
        </w:rPr>
        <w:t>102816]</w:t>
      </w:r>
    </w:p>
    <w:p w14:paraId="55A36AA0" w14:textId="77777777" w:rsidR="002D15EF" w:rsidRPr="006D463C" w:rsidRDefault="002D15EF" w:rsidP="0096369D">
      <w:pPr>
        <w:rPr>
          <w:rFonts w:ascii="Calibri" w:hAnsi="Calibri" w:cs="Calibri"/>
          <w:sz w:val="24"/>
        </w:rPr>
      </w:pPr>
    </w:p>
    <w:p w14:paraId="6B064B80" w14:textId="1480ACDB" w:rsidR="0096369D" w:rsidRPr="006D463C" w:rsidRDefault="0096369D" w:rsidP="0096369D">
      <w:pPr>
        <w:rPr>
          <w:rFonts w:ascii="Calibri" w:hAnsi="Calibri" w:cs="Calibri"/>
          <w:caps/>
          <w:sz w:val="24"/>
        </w:rPr>
      </w:pPr>
      <w:proofErr w:type="spellStart"/>
      <w:r w:rsidRPr="006D463C">
        <w:rPr>
          <w:rFonts w:ascii="Calibri" w:hAnsi="Calibri" w:cs="Calibri"/>
          <w:sz w:val="24"/>
        </w:rPr>
        <w:t>Spaggiari</w:t>
      </w:r>
      <w:proofErr w:type="spellEnd"/>
      <w:r w:rsidRPr="006D463C">
        <w:rPr>
          <w:rFonts w:ascii="Calibri" w:hAnsi="Calibri" w:cs="Calibri"/>
          <w:sz w:val="24"/>
        </w:rPr>
        <w:t xml:space="preserve"> G, Setti M, </w:t>
      </w:r>
      <w:proofErr w:type="spellStart"/>
      <w:r w:rsidRPr="006D463C">
        <w:rPr>
          <w:rFonts w:ascii="Calibri" w:hAnsi="Calibri" w:cs="Calibri"/>
          <w:sz w:val="24"/>
        </w:rPr>
        <w:t>Tagliavini</w:t>
      </w:r>
      <w:proofErr w:type="spellEnd"/>
      <w:r w:rsidRPr="006D463C">
        <w:rPr>
          <w:rFonts w:ascii="Calibri" w:hAnsi="Calibri" w:cs="Calibri"/>
          <w:sz w:val="24"/>
        </w:rPr>
        <w:t xml:space="preserve"> S, et al (2021) </w:t>
      </w:r>
      <w:r w:rsidR="002D492B">
        <w:rPr>
          <w:rFonts w:ascii="Calibri" w:hAnsi="Calibri" w:cs="Calibri"/>
          <w:sz w:val="24"/>
        </w:rPr>
        <w:t>‘</w:t>
      </w:r>
      <w:r w:rsidRPr="006D463C">
        <w:rPr>
          <w:rFonts w:ascii="Calibri" w:hAnsi="Calibri" w:cs="Calibri"/>
          <w:sz w:val="24"/>
        </w:rPr>
        <w:t>The hypothalamic-pituitary-adrenal and -thyroid axes activation lasting one year after an earthquake swarm: results from a big data analysis</w:t>
      </w:r>
      <w:r w:rsidR="002D492B">
        <w:rPr>
          <w:rFonts w:ascii="Calibri" w:hAnsi="Calibri" w:cs="Calibri"/>
          <w:sz w:val="24"/>
        </w:rPr>
        <w:t>’,</w:t>
      </w:r>
      <w:r w:rsidRPr="006D463C">
        <w:rPr>
          <w:rFonts w:ascii="Calibri" w:hAnsi="Calibri" w:cs="Calibri"/>
          <w:sz w:val="24"/>
        </w:rPr>
        <w:t xml:space="preserve"> </w:t>
      </w:r>
      <w:r w:rsidRPr="00E1318C">
        <w:rPr>
          <w:rFonts w:ascii="Calibri" w:hAnsi="Calibri" w:cs="Calibri"/>
          <w:i/>
          <w:iCs/>
          <w:sz w:val="24"/>
        </w:rPr>
        <w:t>J Endocrinol Invest</w:t>
      </w:r>
      <w:r w:rsidRPr="006D463C">
        <w:rPr>
          <w:rFonts w:ascii="Calibri" w:hAnsi="Calibri" w:cs="Calibri"/>
          <w:sz w:val="24"/>
        </w:rPr>
        <w:t>, 44(7): 1501-13. [RMA ID 102817]</w:t>
      </w:r>
    </w:p>
    <w:p w14:paraId="74EDF7E9" w14:textId="77777777" w:rsidR="0096369D" w:rsidRPr="006D463C" w:rsidRDefault="0096369D" w:rsidP="0096369D">
      <w:pPr>
        <w:rPr>
          <w:rFonts w:ascii="Calibri" w:hAnsi="Calibri" w:cs="Calibri"/>
          <w:caps/>
          <w:sz w:val="24"/>
        </w:rPr>
      </w:pPr>
    </w:p>
    <w:p w14:paraId="6A58FED7" w14:textId="2C85D7D5" w:rsidR="0096369D" w:rsidRPr="006D463C" w:rsidRDefault="0096369D" w:rsidP="0096369D">
      <w:pPr>
        <w:rPr>
          <w:rFonts w:ascii="Calibri" w:hAnsi="Calibri" w:cs="Calibri"/>
          <w:caps/>
          <w:sz w:val="24"/>
        </w:rPr>
      </w:pPr>
      <w:r w:rsidRPr="006D463C">
        <w:rPr>
          <w:rFonts w:ascii="Calibri" w:hAnsi="Calibri" w:cs="Calibri"/>
          <w:sz w:val="24"/>
        </w:rPr>
        <w:t xml:space="preserve">Toloza FJ, Mao Y, Menon LP, et al (2020) </w:t>
      </w:r>
      <w:r w:rsidR="002D492B">
        <w:rPr>
          <w:rFonts w:ascii="Calibri" w:hAnsi="Calibri" w:cs="Calibri"/>
          <w:sz w:val="24"/>
        </w:rPr>
        <w:t>‘</w:t>
      </w:r>
      <w:r w:rsidRPr="006D463C">
        <w:rPr>
          <w:rFonts w:ascii="Calibri" w:hAnsi="Calibri" w:cs="Calibri"/>
          <w:sz w:val="24"/>
        </w:rPr>
        <w:t>Association of thyroid function with posttraumatic stress disorder: a systematic review and meta-analysis</w:t>
      </w:r>
      <w:r w:rsidR="002D492B">
        <w:rPr>
          <w:rFonts w:ascii="Calibri" w:hAnsi="Calibri" w:cs="Calibri"/>
          <w:sz w:val="24"/>
        </w:rPr>
        <w:t>’,</w:t>
      </w:r>
      <w:r w:rsidRPr="006D463C">
        <w:rPr>
          <w:rFonts w:ascii="Calibri" w:hAnsi="Calibri" w:cs="Calibri"/>
          <w:sz w:val="24"/>
        </w:rPr>
        <w:t xml:space="preserve"> </w:t>
      </w:r>
      <w:proofErr w:type="spellStart"/>
      <w:r w:rsidRPr="00E1318C">
        <w:rPr>
          <w:rFonts w:ascii="Calibri" w:hAnsi="Calibri" w:cs="Calibri"/>
          <w:i/>
          <w:iCs/>
          <w:sz w:val="24"/>
        </w:rPr>
        <w:t>Endocr</w:t>
      </w:r>
      <w:proofErr w:type="spellEnd"/>
      <w:r w:rsidRPr="00E1318C">
        <w:rPr>
          <w:rFonts w:ascii="Calibri" w:hAnsi="Calibri" w:cs="Calibri"/>
          <w:i/>
          <w:iCs/>
          <w:sz w:val="24"/>
        </w:rPr>
        <w:t xml:space="preserve"> </w:t>
      </w:r>
      <w:proofErr w:type="spellStart"/>
      <w:r w:rsidRPr="00E1318C">
        <w:rPr>
          <w:rFonts w:ascii="Calibri" w:hAnsi="Calibri" w:cs="Calibri"/>
          <w:i/>
          <w:iCs/>
          <w:sz w:val="24"/>
        </w:rPr>
        <w:t>Pract</w:t>
      </w:r>
      <w:proofErr w:type="spellEnd"/>
      <w:r w:rsidRPr="006D463C">
        <w:rPr>
          <w:rFonts w:ascii="Calibri" w:hAnsi="Calibri" w:cs="Calibri"/>
          <w:sz w:val="24"/>
        </w:rPr>
        <w:t>, 26(10): 1173-85. [RMA ID 102621]</w:t>
      </w:r>
    </w:p>
    <w:p w14:paraId="733578C3" w14:textId="77777777" w:rsidR="0096369D" w:rsidRPr="006D463C" w:rsidRDefault="0096369D" w:rsidP="0096369D">
      <w:pPr>
        <w:rPr>
          <w:rFonts w:ascii="Calibri" w:hAnsi="Calibri" w:cs="Calibri"/>
          <w:caps/>
          <w:sz w:val="24"/>
        </w:rPr>
      </w:pPr>
    </w:p>
    <w:p w14:paraId="0270B686" w14:textId="2C66B1C4" w:rsidR="006A32FA" w:rsidRPr="006D463C" w:rsidRDefault="00505541" w:rsidP="00C47310">
      <w:pPr>
        <w:rPr>
          <w:rFonts w:ascii="Calibri" w:hAnsi="Calibri" w:cs="Calibri"/>
          <w:caps/>
          <w:sz w:val="24"/>
        </w:rPr>
      </w:pPr>
      <w:r w:rsidRPr="006D463C">
        <w:rPr>
          <w:rFonts w:ascii="Calibri" w:hAnsi="Calibri" w:cs="Calibri"/>
          <w:sz w:val="24"/>
        </w:rPr>
        <w:t xml:space="preserve">Vaja R, Agius M, </w:t>
      </w:r>
      <w:r w:rsidR="008C2575">
        <w:rPr>
          <w:rFonts w:ascii="Calibri" w:hAnsi="Calibri" w:cs="Calibri"/>
          <w:sz w:val="24"/>
        </w:rPr>
        <w:t xml:space="preserve">and </w:t>
      </w:r>
      <w:r w:rsidRPr="006D463C">
        <w:rPr>
          <w:rFonts w:ascii="Calibri" w:hAnsi="Calibri" w:cs="Calibri"/>
          <w:sz w:val="24"/>
        </w:rPr>
        <w:t xml:space="preserve">Zaman R (2013) </w:t>
      </w:r>
      <w:r w:rsidR="002D492B">
        <w:rPr>
          <w:rFonts w:ascii="Calibri" w:hAnsi="Calibri" w:cs="Calibri"/>
          <w:sz w:val="24"/>
        </w:rPr>
        <w:t>‘</w:t>
      </w:r>
      <w:r w:rsidRPr="006D463C">
        <w:rPr>
          <w:rFonts w:ascii="Calibri" w:hAnsi="Calibri" w:cs="Calibri"/>
          <w:sz w:val="24"/>
        </w:rPr>
        <w:t>Audit to assess the prevalence of autoimmune disorders among patients suffering from psychiatric illnesses</w:t>
      </w:r>
      <w:r w:rsidR="002D492B">
        <w:rPr>
          <w:rFonts w:ascii="Calibri" w:hAnsi="Calibri" w:cs="Calibri"/>
          <w:sz w:val="24"/>
        </w:rPr>
        <w:t>’,</w:t>
      </w:r>
      <w:r w:rsidRPr="006D463C">
        <w:rPr>
          <w:rFonts w:ascii="Calibri" w:hAnsi="Calibri" w:cs="Calibri"/>
          <w:sz w:val="24"/>
        </w:rPr>
        <w:t xml:space="preserve"> </w:t>
      </w:r>
      <w:proofErr w:type="spellStart"/>
      <w:r w:rsidRPr="00E1318C">
        <w:rPr>
          <w:rFonts w:ascii="Calibri" w:hAnsi="Calibri" w:cs="Calibri"/>
          <w:i/>
          <w:iCs/>
          <w:sz w:val="24"/>
        </w:rPr>
        <w:t>Psychiatr</w:t>
      </w:r>
      <w:proofErr w:type="spellEnd"/>
      <w:r w:rsidRPr="00E1318C">
        <w:rPr>
          <w:rFonts w:ascii="Calibri" w:hAnsi="Calibri" w:cs="Calibri"/>
          <w:i/>
          <w:iCs/>
          <w:sz w:val="24"/>
        </w:rPr>
        <w:t xml:space="preserve"> </w:t>
      </w:r>
      <w:proofErr w:type="spellStart"/>
      <w:r w:rsidRPr="00E1318C">
        <w:rPr>
          <w:rFonts w:ascii="Calibri" w:hAnsi="Calibri" w:cs="Calibri"/>
          <w:i/>
          <w:iCs/>
          <w:sz w:val="24"/>
        </w:rPr>
        <w:t>Danub</w:t>
      </w:r>
      <w:proofErr w:type="spellEnd"/>
      <w:r w:rsidRPr="006D463C">
        <w:rPr>
          <w:rFonts w:ascii="Calibri" w:hAnsi="Calibri" w:cs="Calibri"/>
          <w:sz w:val="24"/>
        </w:rPr>
        <w:t>, 25(Suppl 2): S305-14.</w:t>
      </w:r>
      <w:r w:rsidR="000C367C" w:rsidRPr="006D463C">
        <w:rPr>
          <w:rFonts w:ascii="Calibri" w:hAnsi="Calibri" w:cs="Calibri"/>
          <w:sz w:val="24"/>
        </w:rPr>
        <w:t xml:space="preserve"> [RMA ID 103393]</w:t>
      </w:r>
    </w:p>
    <w:p w14:paraId="733B1D6B" w14:textId="77777777" w:rsidR="00ED7F05" w:rsidRPr="006D463C" w:rsidRDefault="00ED7F05" w:rsidP="008D5A46">
      <w:pPr>
        <w:rPr>
          <w:rFonts w:ascii="Calibri" w:hAnsi="Calibri" w:cs="Calibri"/>
          <w:caps/>
        </w:rPr>
      </w:pPr>
    </w:p>
    <w:p w14:paraId="5DC197DD" w14:textId="77777777" w:rsidR="0022760E" w:rsidRDefault="0022760E" w:rsidP="00E30F9B">
      <w:pPr>
        <w:rPr>
          <w:caps/>
        </w:rPr>
      </w:pPr>
    </w:p>
    <w:p w14:paraId="460ECB72" w14:textId="742F7243" w:rsidR="00C87279" w:rsidRPr="00F54093" w:rsidRDefault="006D4FE9" w:rsidP="00E30F9B">
      <w:pPr>
        <w:rPr>
          <w:color w:val="0000FF"/>
        </w:rPr>
      </w:pPr>
      <w:r w:rsidRPr="00F54093">
        <w:br w:type="page"/>
      </w:r>
    </w:p>
    <w:p w14:paraId="460ECB73" w14:textId="77777777" w:rsidR="001A3BEC" w:rsidRPr="00F54093" w:rsidRDefault="001A3BEC" w:rsidP="00FE374D">
      <w:pPr>
        <w:pStyle w:val="Heading1"/>
      </w:pPr>
      <w:bookmarkStart w:id="42" w:name="_Toc415563752"/>
      <w:bookmarkStart w:id="43" w:name="_Toc193702358"/>
      <w:r w:rsidRPr="00F54093">
        <w:lastRenderedPageBreak/>
        <w:t>APPENDICES</w:t>
      </w:r>
      <w:bookmarkEnd w:id="42"/>
      <w:bookmarkEnd w:id="43"/>
    </w:p>
    <w:p w14:paraId="460ECB74" w14:textId="02BE2741" w:rsidR="00C87279" w:rsidRPr="00F54093" w:rsidRDefault="00C87279" w:rsidP="00FE374D">
      <w:pPr>
        <w:pStyle w:val="Heading2"/>
      </w:pPr>
      <w:bookmarkStart w:id="44" w:name="_Toc415563753"/>
      <w:bookmarkStart w:id="45" w:name="_Toc399854326"/>
      <w:bookmarkStart w:id="46" w:name="_Toc193702359"/>
      <w:r w:rsidRPr="00F54093">
        <w:t>APPENDIX A:</w:t>
      </w:r>
      <w:bookmarkEnd w:id="44"/>
      <w:r w:rsidRPr="00F54093">
        <w:t xml:space="preserve"> </w:t>
      </w:r>
      <w:bookmarkEnd w:id="45"/>
      <w:r w:rsidR="00E46464" w:rsidRPr="00F54093">
        <w:t xml:space="preserve">TABLE </w:t>
      </w:r>
      <w:proofErr w:type="gramStart"/>
      <w:r w:rsidR="00E46464" w:rsidRPr="00F54093">
        <w:t>1  MATERIAL</w:t>
      </w:r>
      <w:proofErr w:type="gramEnd"/>
      <w:r w:rsidR="00E46464" w:rsidRPr="00F54093">
        <w:t xml:space="preserve"> BEFORE THE RMA</w:t>
      </w:r>
      <w:bookmarkEnd w:id="46"/>
    </w:p>
    <w:tbl>
      <w:tblPr>
        <w:tblW w:w="8250" w:type="dxa"/>
        <w:tblLayout w:type="fixed"/>
        <w:tblCellMar>
          <w:left w:w="30" w:type="dxa"/>
          <w:right w:w="30" w:type="dxa"/>
        </w:tblCellMar>
        <w:tblLook w:val="0000" w:firstRow="0" w:lastRow="0" w:firstColumn="0" w:lastColumn="0" w:noHBand="0" w:noVBand="0"/>
      </w:tblPr>
      <w:tblGrid>
        <w:gridCol w:w="8250"/>
      </w:tblGrid>
      <w:tr w:rsidR="00C87279" w:rsidRPr="00F54093" w14:paraId="460ECB77" w14:textId="77777777" w:rsidTr="00500331">
        <w:trPr>
          <w:cantSplit/>
          <w:trHeight w:val="851"/>
        </w:trPr>
        <w:tc>
          <w:tcPr>
            <w:tcW w:w="8250" w:type="dxa"/>
            <w:vAlign w:val="center"/>
          </w:tcPr>
          <w:p w14:paraId="460ECB76" w14:textId="78FDEFE0" w:rsidR="00C87279" w:rsidRPr="00F54093" w:rsidRDefault="00C87279" w:rsidP="00FE374D">
            <w:pPr>
              <w:pStyle w:val="Heading2"/>
            </w:pPr>
          </w:p>
        </w:tc>
      </w:tr>
    </w:tbl>
    <w:tbl>
      <w:tblPr>
        <w:tblStyle w:val="TableGrid10"/>
        <w:tblW w:w="8926" w:type="dxa"/>
        <w:jc w:val="center"/>
        <w:tblInd w:w="0" w:type="dxa"/>
        <w:tblLayout w:type="fixed"/>
        <w:tblLook w:val="04A0" w:firstRow="1" w:lastRow="0" w:firstColumn="1" w:lastColumn="0" w:noHBand="0" w:noVBand="1"/>
      </w:tblPr>
      <w:tblGrid>
        <w:gridCol w:w="1555"/>
        <w:gridCol w:w="7371"/>
      </w:tblGrid>
      <w:tr w:rsidR="00270FBF" w14:paraId="03ABA03C"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tcPr>
          <w:p w14:paraId="33D963FA" w14:textId="0C97ADF6" w:rsidR="00270FBF" w:rsidRDefault="00270FBF" w:rsidP="00837EC5">
            <w:r w:rsidRPr="00F54093">
              <w:rPr>
                <w:rFonts w:ascii="Calibri" w:hAnsi="Calibri" w:cs="Calibri"/>
                <w:b/>
              </w:rPr>
              <w:t>RMA ID</w:t>
            </w:r>
          </w:p>
        </w:tc>
        <w:tc>
          <w:tcPr>
            <w:tcW w:w="7371" w:type="dxa"/>
            <w:tcBorders>
              <w:top w:val="single" w:sz="4" w:space="0" w:color="auto"/>
              <w:left w:val="single" w:sz="4" w:space="0" w:color="auto"/>
              <w:bottom w:val="single" w:sz="4" w:space="0" w:color="auto"/>
              <w:right w:val="single" w:sz="4" w:space="0" w:color="auto"/>
            </w:tcBorders>
          </w:tcPr>
          <w:p w14:paraId="35DD3E4B" w14:textId="01B94013" w:rsidR="00270FBF" w:rsidRDefault="00270FBF" w:rsidP="00837EC5">
            <w:r w:rsidRPr="00F54093">
              <w:rPr>
                <w:rFonts w:ascii="Calibri" w:hAnsi="Calibri" w:cs="Calibri"/>
                <w:b/>
              </w:rPr>
              <w:t>Title</w:t>
            </w:r>
          </w:p>
        </w:tc>
      </w:tr>
      <w:tr w:rsidR="00270FBF" w14:paraId="0A0D73D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DA29672" w14:textId="77777777" w:rsidR="00270FBF" w:rsidRPr="00E92C22" w:rsidRDefault="00270FBF" w:rsidP="00270FBF">
            <w:pPr>
              <w:jc w:val="center"/>
              <w:rPr>
                <w:rFonts w:ascii="Calibri" w:hAnsi="Calibri" w:cs="Calibri"/>
                <w:szCs w:val="22"/>
              </w:rPr>
            </w:pPr>
            <w:r w:rsidRPr="00E92C22">
              <w:rPr>
                <w:rFonts w:ascii="Calibri" w:hAnsi="Calibri" w:cs="Calibri"/>
              </w:rPr>
              <w:t>80967</w:t>
            </w:r>
          </w:p>
        </w:tc>
        <w:tc>
          <w:tcPr>
            <w:tcW w:w="7371" w:type="dxa"/>
            <w:tcBorders>
              <w:top w:val="single" w:sz="4" w:space="0" w:color="auto"/>
              <w:left w:val="single" w:sz="4" w:space="0" w:color="auto"/>
              <w:bottom w:val="single" w:sz="4" w:space="0" w:color="auto"/>
              <w:right w:val="single" w:sz="4" w:space="0" w:color="auto"/>
            </w:tcBorders>
            <w:hideMark/>
          </w:tcPr>
          <w:p w14:paraId="31725401" w14:textId="77777777" w:rsidR="00270FBF" w:rsidRPr="00E92C22" w:rsidRDefault="00270FBF" w:rsidP="00270FBF">
            <w:pPr>
              <w:rPr>
                <w:rFonts w:ascii="Calibri" w:hAnsi="Calibri" w:cs="Calibri"/>
              </w:rPr>
            </w:pPr>
            <w:r w:rsidRPr="00E92C22">
              <w:rPr>
                <w:rFonts w:ascii="Calibri" w:hAnsi="Calibri" w:cs="Calibri"/>
              </w:rPr>
              <w:t>Administrative Appeals Tribunal of Australia (2015). Mahoney and Repatriation Commission [2015] AATA 379 (29 May 2015). Retrieved 15 March 2017, from http://www.austlii.edu.au/au/cases/cth/AATA/2015/379.html</w:t>
            </w:r>
          </w:p>
        </w:tc>
      </w:tr>
      <w:tr w:rsidR="00270FBF" w14:paraId="2F99246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122ECC1" w14:textId="77777777" w:rsidR="00270FBF" w:rsidRPr="00E92C22" w:rsidRDefault="00270FBF" w:rsidP="00270FBF">
            <w:pPr>
              <w:jc w:val="center"/>
              <w:rPr>
                <w:rFonts w:ascii="Calibri" w:hAnsi="Calibri" w:cs="Calibri"/>
              </w:rPr>
            </w:pPr>
            <w:r w:rsidRPr="00E92C22">
              <w:rPr>
                <w:rFonts w:ascii="Calibri" w:hAnsi="Calibri" w:cs="Calibri"/>
              </w:rPr>
              <w:t>66926</w:t>
            </w:r>
          </w:p>
        </w:tc>
        <w:tc>
          <w:tcPr>
            <w:tcW w:w="7371" w:type="dxa"/>
            <w:tcBorders>
              <w:top w:val="single" w:sz="4" w:space="0" w:color="auto"/>
              <w:left w:val="single" w:sz="4" w:space="0" w:color="auto"/>
              <w:bottom w:val="single" w:sz="4" w:space="0" w:color="auto"/>
              <w:right w:val="single" w:sz="4" w:space="0" w:color="auto"/>
            </w:tcBorders>
            <w:hideMark/>
          </w:tcPr>
          <w:p w14:paraId="73E19189" w14:textId="77777777" w:rsidR="00270FBF" w:rsidRPr="00E92C22" w:rsidRDefault="00270FBF" w:rsidP="00270FBF">
            <w:pPr>
              <w:rPr>
                <w:rFonts w:ascii="Calibri" w:hAnsi="Calibri" w:cs="Calibri"/>
              </w:rPr>
            </w:pPr>
            <w:r w:rsidRPr="00E92C22">
              <w:rPr>
                <w:rFonts w:ascii="Calibri" w:hAnsi="Calibri" w:cs="Calibri"/>
              </w:rPr>
              <w:t xml:space="preserve">Agate L, Mariotti S, Elisei R, et al (2008). Thyroid autoantibodies and thyroid function in subjects exposed to Chernobyl fallout during childhood: evidence for a transient radiation-induced elevation of serum thyroid antibodies without an increase in thyroid autoimmune disease. J Clin Endocrinol </w:t>
            </w:r>
            <w:proofErr w:type="spellStart"/>
            <w:r w:rsidRPr="00E92C22">
              <w:rPr>
                <w:rFonts w:ascii="Calibri" w:hAnsi="Calibri" w:cs="Calibri"/>
              </w:rPr>
              <w:t>Metab</w:t>
            </w:r>
            <w:proofErr w:type="spellEnd"/>
            <w:r w:rsidRPr="00E92C22">
              <w:rPr>
                <w:rFonts w:ascii="Calibri" w:hAnsi="Calibri" w:cs="Calibri"/>
              </w:rPr>
              <w:t>, 93(7): 2729-36.</w:t>
            </w:r>
          </w:p>
        </w:tc>
      </w:tr>
      <w:tr w:rsidR="00270FBF" w14:paraId="4E74636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116C2DD" w14:textId="77777777" w:rsidR="00270FBF" w:rsidRPr="00E92C22" w:rsidRDefault="00270FBF" w:rsidP="00270FBF">
            <w:pPr>
              <w:jc w:val="center"/>
              <w:rPr>
                <w:rFonts w:ascii="Calibri" w:hAnsi="Calibri" w:cs="Calibri"/>
              </w:rPr>
            </w:pPr>
            <w:r w:rsidRPr="00E92C22">
              <w:rPr>
                <w:rFonts w:ascii="Calibri" w:hAnsi="Calibri" w:cs="Calibri"/>
              </w:rPr>
              <w:t>103521</w:t>
            </w:r>
          </w:p>
        </w:tc>
        <w:tc>
          <w:tcPr>
            <w:tcW w:w="7371" w:type="dxa"/>
            <w:tcBorders>
              <w:top w:val="single" w:sz="4" w:space="0" w:color="auto"/>
              <w:left w:val="single" w:sz="4" w:space="0" w:color="auto"/>
              <w:bottom w:val="single" w:sz="4" w:space="0" w:color="auto"/>
              <w:right w:val="single" w:sz="4" w:space="0" w:color="auto"/>
            </w:tcBorders>
            <w:hideMark/>
          </w:tcPr>
          <w:p w14:paraId="013E4F49" w14:textId="77777777" w:rsidR="00270FBF" w:rsidRPr="00E92C22" w:rsidRDefault="00270FBF" w:rsidP="00270FBF">
            <w:pPr>
              <w:rPr>
                <w:rFonts w:ascii="Calibri" w:hAnsi="Calibri" w:cs="Calibri"/>
              </w:rPr>
            </w:pPr>
            <w:proofErr w:type="spellStart"/>
            <w:r w:rsidRPr="00E92C22">
              <w:rPr>
                <w:rFonts w:ascii="Calibri" w:hAnsi="Calibri" w:cs="Calibri"/>
              </w:rPr>
              <w:t>Aghini</w:t>
            </w:r>
            <w:proofErr w:type="spellEnd"/>
            <w:r w:rsidRPr="00E92C22">
              <w:rPr>
                <w:rFonts w:ascii="Calibri" w:hAnsi="Calibri" w:cs="Calibri"/>
              </w:rPr>
              <w:t xml:space="preserve"> Lombardi F, Fiore E, </w:t>
            </w:r>
            <w:proofErr w:type="spellStart"/>
            <w:r w:rsidRPr="00E92C22">
              <w:rPr>
                <w:rFonts w:ascii="Calibri" w:hAnsi="Calibri" w:cs="Calibri"/>
              </w:rPr>
              <w:t>Tonacchera</w:t>
            </w:r>
            <w:proofErr w:type="spellEnd"/>
            <w:r w:rsidRPr="00E92C22">
              <w:rPr>
                <w:rFonts w:ascii="Calibri" w:hAnsi="Calibri" w:cs="Calibri"/>
              </w:rPr>
              <w:t xml:space="preserve"> M, et al (2013). The effect of voluntary iodine prophylaxis in a small rural community: the </w:t>
            </w:r>
            <w:proofErr w:type="spellStart"/>
            <w:r w:rsidRPr="00E92C22">
              <w:rPr>
                <w:rFonts w:ascii="Calibri" w:hAnsi="Calibri" w:cs="Calibri"/>
              </w:rPr>
              <w:t>Pescopagano</w:t>
            </w:r>
            <w:proofErr w:type="spellEnd"/>
            <w:r w:rsidRPr="00E92C22">
              <w:rPr>
                <w:rFonts w:ascii="Calibri" w:hAnsi="Calibri" w:cs="Calibri"/>
              </w:rPr>
              <w:t xml:space="preserve"> survey 15 years later. J Clin Endocrinol </w:t>
            </w:r>
            <w:proofErr w:type="spellStart"/>
            <w:r w:rsidRPr="00E92C22">
              <w:rPr>
                <w:rFonts w:ascii="Calibri" w:hAnsi="Calibri" w:cs="Calibri"/>
              </w:rPr>
              <w:t>Metab</w:t>
            </w:r>
            <w:proofErr w:type="spellEnd"/>
            <w:r w:rsidRPr="00E92C22">
              <w:rPr>
                <w:rFonts w:ascii="Calibri" w:hAnsi="Calibri" w:cs="Calibri"/>
              </w:rPr>
              <w:t>, 98(3): 1031-9.</w:t>
            </w:r>
          </w:p>
        </w:tc>
      </w:tr>
      <w:tr w:rsidR="00270FBF" w14:paraId="0FCAF47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21770D7" w14:textId="77777777" w:rsidR="00270FBF" w:rsidRPr="00E92C22" w:rsidRDefault="00270FBF" w:rsidP="00270FBF">
            <w:pPr>
              <w:jc w:val="center"/>
              <w:rPr>
                <w:rFonts w:ascii="Calibri" w:hAnsi="Calibri" w:cs="Calibri"/>
              </w:rPr>
            </w:pPr>
            <w:r w:rsidRPr="00E92C22">
              <w:rPr>
                <w:rFonts w:ascii="Calibri" w:hAnsi="Calibri" w:cs="Calibri"/>
              </w:rPr>
              <w:t>65359</w:t>
            </w:r>
          </w:p>
        </w:tc>
        <w:tc>
          <w:tcPr>
            <w:tcW w:w="7371" w:type="dxa"/>
            <w:tcBorders>
              <w:top w:val="single" w:sz="4" w:space="0" w:color="auto"/>
              <w:left w:val="single" w:sz="4" w:space="0" w:color="auto"/>
              <w:bottom w:val="single" w:sz="4" w:space="0" w:color="auto"/>
              <w:right w:val="single" w:sz="4" w:space="0" w:color="auto"/>
            </w:tcBorders>
            <w:hideMark/>
          </w:tcPr>
          <w:p w14:paraId="3850D367" w14:textId="77777777" w:rsidR="00270FBF" w:rsidRPr="00E92C22" w:rsidRDefault="00270FBF" w:rsidP="00270FBF">
            <w:pPr>
              <w:rPr>
                <w:rFonts w:ascii="Calibri" w:hAnsi="Calibri" w:cs="Calibri"/>
              </w:rPr>
            </w:pPr>
            <w:r w:rsidRPr="00E92C22">
              <w:rPr>
                <w:rFonts w:ascii="Calibri" w:hAnsi="Calibri" w:cs="Calibri"/>
              </w:rPr>
              <w:t xml:space="preserve">Ahmed R, Al-Shaikh S, Akhtar M (2012). Hashimoto thyroiditis: a century later. Adv Anat </w:t>
            </w:r>
            <w:proofErr w:type="spellStart"/>
            <w:r w:rsidRPr="00E92C22">
              <w:rPr>
                <w:rFonts w:ascii="Calibri" w:hAnsi="Calibri" w:cs="Calibri"/>
              </w:rPr>
              <w:t>Pathol</w:t>
            </w:r>
            <w:proofErr w:type="spellEnd"/>
            <w:r w:rsidRPr="00E92C22">
              <w:rPr>
                <w:rFonts w:ascii="Calibri" w:hAnsi="Calibri" w:cs="Calibri"/>
              </w:rPr>
              <w:t>, 19(3): 181-6.</w:t>
            </w:r>
          </w:p>
        </w:tc>
      </w:tr>
      <w:tr w:rsidR="00270FBF" w14:paraId="07EF085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810DE67" w14:textId="77777777" w:rsidR="00270FBF" w:rsidRPr="00E92C22" w:rsidRDefault="00270FBF" w:rsidP="00270FBF">
            <w:pPr>
              <w:jc w:val="center"/>
              <w:rPr>
                <w:rFonts w:ascii="Calibri" w:hAnsi="Calibri" w:cs="Calibri"/>
              </w:rPr>
            </w:pPr>
            <w:r w:rsidRPr="00E92C22">
              <w:rPr>
                <w:rFonts w:ascii="Calibri" w:hAnsi="Calibri" w:cs="Calibri"/>
              </w:rPr>
              <w:t>99437</w:t>
            </w:r>
          </w:p>
        </w:tc>
        <w:tc>
          <w:tcPr>
            <w:tcW w:w="7371" w:type="dxa"/>
            <w:tcBorders>
              <w:top w:val="single" w:sz="4" w:space="0" w:color="auto"/>
              <w:left w:val="single" w:sz="4" w:space="0" w:color="auto"/>
              <w:bottom w:val="single" w:sz="4" w:space="0" w:color="auto"/>
              <w:right w:val="single" w:sz="4" w:space="0" w:color="auto"/>
            </w:tcBorders>
            <w:hideMark/>
          </w:tcPr>
          <w:p w14:paraId="3A311492" w14:textId="77777777" w:rsidR="00270FBF" w:rsidRPr="00E92C22" w:rsidRDefault="00270FBF" w:rsidP="00270FBF">
            <w:pPr>
              <w:rPr>
                <w:rFonts w:ascii="Calibri" w:hAnsi="Calibri" w:cs="Calibri"/>
              </w:rPr>
            </w:pPr>
            <w:r w:rsidRPr="00E92C22">
              <w:rPr>
                <w:rFonts w:ascii="Calibri" w:hAnsi="Calibri" w:cs="Calibri"/>
              </w:rPr>
              <w:t>Alexander EK, Pearce EN, Brent GA, et al (2017). 2017 Guidelines of the American Thyroid Association for the diagnosis and management of thyroid disease during pregnancy and the postpartum. Thyroid, 27(3): 315-89.</w:t>
            </w:r>
          </w:p>
        </w:tc>
      </w:tr>
      <w:tr w:rsidR="00270FBF" w14:paraId="73FA779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81EFF1D" w14:textId="77777777" w:rsidR="00270FBF" w:rsidRPr="00E92C22" w:rsidRDefault="00270FBF" w:rsidP="00270FBF">
            <w:pPr>
              <w:jc w:val="center"/>
              <w:rPr>
                <w:rFonts w:ascii="Calibri" w:hAnsi="Calibri" w:cs="Calibri"/>
              </w:rPr>
            </w:pPr>
            <w:r w:rsidRPr="00E92C22">
              <w:rPr>
                <w:rFonts w:ascii="Calibri" w:hAnsi="Calibri" w:cs="Calibri"/>
              </w:rPr>
              <w:t>65360</w:t>
            </w:r>
          </w:p>
        </w:tc>
        <w:tc>
          <w:tcPr>
            <w:tcW w:w="7371" w:type="dxa"/>
            <w:tcBorders>
              <w:top w:val="single" w:sz="4" w:space="0" w:color="auto"/>
              <w:left w:val="single" w:sz="4" w:space="0" w:color="auto"/>
              <w:bottom w:val="single" w:sz="4" w:space="0" w:color="auto"/>
              <w:right w:val="single" w:sz="4" w:space="0" w:color="auto"/>
            </w:tcBorders>
            <w:hideMark/>
          </w:tcPr>
          <w:p w14:paraId="582DE6C2" w14:textId="77777777" w:rsidR="00270FBF" w:rsidRPr="00E92C22" w:rsidRDefault="00270FBF" w:rsidP="00270FBF">
            <w:pPr>
              <w:rPr>
                <w:rFonts w:ascii="Calibri" w:hAnsi="Calibri" w:cs="Calibri"/>
              </w:rPr>
            </w:pPr>
            <w:proofErr w:type="spellStart"/>
            <w:r w:rsidRPr="00E92C22">
              <w:rPr>
                <w:rFonts w:ascii="Calibri" w:hAnsi="Calibri" w:cs="Calibri"/>
              </w:rPr>
              <w:t>Alfaris</w:t>
            </w:r>
            <w:proofErr w:type="spellEnd"/>
            <w:r w:rsidRPr="00E92C22">
              <w:rPr>
                <w:rFonts w:ascii="Calibri" w:hAnsi="Calibri" w:cs="Calibri"/>
              </w:rPr>
              <w:t xml:space="preserve"> N, Curiel R, Tabbara S, et al (2010). Autoimmune thyroid disease and Sjogren syndrome. J Clin </w:t>
            </w:r>
            <w:proofErr w:type="spellStart"/>
            <w:r w:rsidRPr="00E92C22">
              <w:rPr>
                <w:rFonts w:ascii="Calibri" w:hAnsi="Calibri" w:cs="Calibri"/>
              </w:rPr>
              <w:t>Rheumatol</w:t>
            </w:r>
            <w:proofErr w:type="spellEnd"/>
            <w:r w:rsidRPr="00E92C22">
              <w:rPr>
                <w:rFonts w:ascii="Calibri" w:hAnsi="Calibri" w:cs="Calibri"/>
              </w:rPr>
              <w:t>, 16(3): 146-7.</w:t>
            </w:r>
          </w:p>
        </w:tc>
      </w:tr>
      <w:tr w:rsidR="00270FBF" w14:paraId="6FAE5FB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ACBCBC0" w14:textId="77777777" w:rsidR="00270FBF" w:rsidRPr="00E92C22" w:rsidRDefault="00270FBF" w:rsidP="00270FBF">
            <w:pPr>
              <w:jc w:val="center"/>
              <w:rPr>
                <w:rFonts w:ascii="Calibri" w:hAnsi="Calibri" w:cs="Calibri"/>
              </w:rPr>
            </w:pPr>
            <w:r w:rsidRPr="00E92C22">
              <w:rPr>
                <w:rFonts w:ascii="Calibri" w:hAnsi="Calibri" w:cs="Calibri"/>
              </w:rPr>
              <w:t>102784</w:t>
            </w:r>
          </w:p>
        </w:tc>
        <w:tc>
          <w:tcPr>
            <w:tcW w:w="7371" w:type="dxa"/>
            <w:tcBorders>
              <w:top w:val="single" w:sz="4" w:space="0" w:color="auto"/>
              <w:left w:val="single" w:sz="4" w:space="0" w:color="auto"/>
              <w:bottom w:val="single" w:sz="4" w:space="0" w:color="auto"/>
              <w:right w:val="single" w:sz="4" w:space="0" w:color="auto"/>
            </w:tcBorders>
            <w:hideMark/>
          </w:tcPr>
          <w:p w14:paraId="27547F8F" w14:textId="77777777" w:rsidR="00270FBF" w:rsidRPr="00E92C22" w:rsidRDefault="00270FBF" w:rsidP="00270FBF">
            <w:pPr>
              <w:rPr>
                <w:rFonts w:ascii="Calibri" w:hAnsi="Calibri" w:cs="Calibri"/>
              </w:rPr>
            </w:pPr>
            <w:r w:rsidRPr="00E92C22">
              <w:rPr>
                <w:rFonts w:ascii="Calibri" w:hAnsi="Calibri" w:cs="Calibri"/>
              </w:rPr>
              <w:t>American Thyroid Association (2019). Thyroid Function Tests. Retrieved 21 October 2021, from https://www.thyroid.org/wp-content/uploads/patients/brochures/FunctionTests_brochure.pdf</w:t>
            </w:r>
          </w:p>
        </w:tc>
      </w:tr>
      <w:tr w:rsidR="00270FBF" w14:paraId="5C68834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F9A2C33" w14:textId="77777777" w:rsidR="00270FBF" w:rsidRPr="00E92C22" w:rsidRDefault="00270FBF" w:rsidP="00270FBF">
            <w:pPr>
              <w:jc w:val="center"/>
              <w:rPr>
                <w:rFonts w:ascii="Calibri" w:hAnsi="Calibri" w:cs="Calibri"/>
              </w:rPr>
            </w:pPr>
            <w:r w:rsidRPr="00E92C22">
              <w:rPr>
                <w:rFonts w:ascii="Calibri" w:hAnsi="Calibri" w:cs="Calibri"/>
              </w:rPr>
              <w:t>102783</w:t>
            </w:r>
          </w:p>
        </w:tc>
        <w:tc>
          <w:tcPr>
            <w:tcW w:w="7371" w:type="dxa"/>
            <w:tcBorders>
              <w:top w:val="single" w:sz="4" w:space="0" w:color="auto"/>
              <w:left w:val="single" w:sz="4" w:space="0" w:color="auto"/>
              <w:bottom w:val="single" w:sz="4" w:space="0" w:color="auto"/>
              <w:right w:val="single" w:sz="4" w:space="0" w:color="auto"/>
            </w:tcBorders>
            <w:hideMark/>
          </w:tcPr>
          <w:p w14:paraId="289E4FCF" w14:textId="77777777" w:rsidR="00270FBF" w:rsidRPr="00E92C22" w:rsidRDefault="00270FBF" w:rsidP="00270FBF">
            <w:pPr>
              <w:rPr>
                <w:rFonts w:ascii="Calibri" w:hAnsi="Calibri" w:cs="Calibri"/>
              </w:rPr>
            </w:pPr>
            <w:proofErr w:type="spellStart"/>
            <w:r w:rsidRPr="00E92C22">
              <w:rPr>
                <w:rFonts w:ascii="Calibri" w:hAnsi="Calibri" w:cs="Calibri"/>
              </w:rPr>
              <w:t>Amouzegar</w:t>
            </w:r>
            <w:proofErr w:type="spellEnd"/>
            <w:r w:rsidRPr="00E92C22">
              <w:rPr>
                <w:rFonts w:ascii="Calibri" w:hAnsi="Calibri" w:cs="Calibri"/>
              </w:rPr>
              <w:t xml:space="preserve"> A, </w:t>
            </w:r>
            <w:proofErr w:type="spellStart"/>
            <w:r w:rsidRPr="00E92C22">
              <w:rPr>
                <w:rFonts w:ascii="Calibri" w:hAnsi="Calibri" w:cs="Calibri"/>
              </w:rPr>
              <w:t>Kazemian</w:t>
            </w:r>
            <w:proofErr w:type="spellEnd"/>
            <w:r w:rsidRPr="00E92C22">
              <w:rPr>
                <w:rFonts w:ascii="Calibri" w:hAnsi="Calibri" w:cs="Calibri"/>
              </w:rPr>
              <w:t xml:space="preserve"> E, Abdi H, et al (2020). Abdominal obesity phenotypes and incidence of thyroid autoimmunity: A 9-year follow-up. </w:t>
            </w:r>
            <w:proofErr w:type="spellStart"/>
            <w:r w:rsidRPr="00E92C22">
              <w:rPr>
                <w:rFonts w:ascii="Calibri" w:hAnsi="Calibri" w:cs="Calibri"/>
              </w:rPr>
              <w:t>Endocr</w:t>
            </w:r>
            <w:proofErr w:type="spellEnd"/>
            <w:r w:rsidRPr="00E92C22">
              <w:rPr>
                <w:rFonts w:ascii="Calibri" w:hAnsi="Calibri" w:cs="Calibri"/>
              </w:rPr>
              <w:t xml:space="preserve"> Res, 45(3): 202-9.</w:t>
            </w:r>
          </w:p>
        </w:tc>
      </w:tr>
      <w:tr w:rsidR="00270FBF" w14:paraId="22D42DD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08114C8" w14:textId="77777777" w:rsidR="00270FBF" w:rsidRPr="00E92C22" w:rsidRDefault="00270FBF" w:rsidP="00270FBF">
            <w:pPr>
              <w:jc w:val="center"/>
              <w:rPr>
                <w:rFonts w:ascii="Calibri" w:hAnsi="Calibri" w:cs="Calibri"/>
              </w:rPr>
            </w:pPr>
            <w:r w:rsidRPr="00E92C22">
              <w:rPr>
                <w:rFonts w:ascii="Calibri" w:hAnsi="Calibri" w:cs="Calibri"/>
              </w:rPr>
              <w:t>101704</w:t>
            </w:r>
          </w:p>
        </w:tc>
        <w:tc>
          <w:tcPr>
            <w:tcW w:w="7371" w:type="dxa"/>
            <w:tcBorders>
              <w:top w:val="single" w:sz="4" w:space="0" w:color="auto"/>
              <w:left w:val="single" w:sz="4" w:space="0" w:color="auto"/>
              <w:bottom w:val="single" w:sz="4" w:space="0" w:color="auto"/>
              <w:right w:val="single" w:sz="4" w:space="0" w:color="auto"/>
            </w:tcBorders>
            <w:hideMark/>
          </w:tcPr>
          <w:p w14:paraId="63071C43" w14:textId="77777777" w:rsidR="00270FBF" w:rsidRPr="00E92C22" w:rsidRDefault="00270FBF" w:rsidP="00270FBF">
            <w:pPr>
              <w:rPr>
                <w:rFonts w:ascii="Calibri" w:hAnsi="Calibri" w:cs="Calibri"/>
              </w:rPr>
            </w:pPr>
            <w:r w:rsidRPr="006E1170">
              <w:rPr>
                <w:rFonts w:ascii="Calibri" w:hAnsi="Calibri" w:cs="Calibri"/>
                <w:lang w:val="de-DE"/>
              </w:rPr>
              <w:t xml:space="preserve">Andersen SL, Olsen J, Wu CS, et al (2014). </w:t>
            </w:r>
            <w:r w:rsidRPr="00E92C22">
              <w:rPr>
                <w:rFonts w:ascii="Calibri" w:hAnsi="Calibri" w:cs="Calibri"/>
              </w:rPr>
              <w:t>Smoking reduces the risk of hypothyroidism and increases the risk of hyperthyroidism: evidence from 450,842 mothers giving birth in Denmark. Clin Endocrinol (</w:t>
            </w:r>
            <w:proofErr w:type="spellStart"/>
            <w:r w:rsidRPr="00E92C22">
              <w:rPr>
                <w:rFonts w:ascii="Calibri" w:hAnsi="Calibri" w:cs="Calibri"/>
              </w:rPr>
              <w:t>Oxf</w:t>
            </w:r>
            <w:proofErr w:type="spellEnd"/>
            <w:r w:rsidRPr="00E92C22">
              <w:rPr>
                <w:rFonts w:ascii="Calibri" w:hAnsi="Calibri" w:cs="Calibri"/>
              </w:rPr>
              <w:t>), 80(2): 307-14.</w:t>
            </w:r>
          </w:p>
        </w:tc>
      </w:tr>
      <w:tr w:rsidR="00270FBF" w14:paraId="48EB8CC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0EFD32C" w14:textId="77777777" w:rsidR="00270FBF" w:rsidRPr="00E92C22" w:rsidRDefault="00270FBF" w:rsidP="00270FBF">
            <w:pPr>
              <w:jc w:val="center"/>
              <w:rPr>
                <w:rFonts w:ascii="Calibri" w:hAnsi="Calibri" w:cs="Calibri"/>
              </w:rPr>
            </w:pPr>
            <w:r w:rsidRPr="00E92C22">
              <w:rPr>
                <w:rFonts w:ascii="Calibri" w:hAnsi="Calibri" w:cs="Calibri"/>
              </w:rPr>
              <w:t>99944</w:t>
            </w:r>
          </w:p>
        </w:tc>
        <w:tc>
          <w:tcPr>
            <w:tcW w:w="7371" w:type="dxa"/>
            <w:tcBorders>
              <w:top w:val="single" w:sz="4" w:space="0" w:color="auto"/>
              <w:left w:val="single" w:sz="4" w:space="0" w:color="auto"/>
              <w:bottom w:val="single" w:sz="4" w:space="0" w:color="auto"/>
              <w:right w:val="single" w:sz="4" w:space="0" w:color="auto"/>
            </w:tcBorders>
            <w:hideMark/>
          </w:tcPr>
          <w:p w14:paraId="4B8503B1" w14:textId="77777777" w:rsidR="00270FBF" w:rsidRPr="00E92C22" w:rsidRDefault="00270FBF" w:rsidP="00270FBF">
            <w:pPr>
              <w:rPr>
                <w:rFonts w:ascii="Calibri" w:hAnsi="Calibri" w:cs="Calibri"/>
              </w:rPr>
            </w:pPr>
            <w:r w:rsidRPr="00E92C22">
              <w:rPr>
                <w:rFonts w:ascii="Calibri" w:hAnsi="Calibri" w:cs="Calibri"/>
              </w:rPr>
              <w:t>Andersson EM, Scott K, Xu Y, et al (2019). High exposure to perfluorinated compounds in drinking water and thyroid disease. A cohort study from Ronneby, Sweden. Environ Res, 176: 108540.</w:t>
            </w:r>
          </w:p>
        </w:tc>
      </w:tr>
      <w:tr w:rsidR="00270FBF" w14:paraId="53AD39E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F852C61" w14:textId="77777777" w:rsidR="00270FBF" w:rsidRPr="00E92C22" w:rsidRDefault="00270FBF" w:rsidP="00270FBF">
            <w:pPr>
              <w:jc w:val="center"/>
              <w:rPr>
                <w:rFonts w:ascii="Calibri" w:hAnsi="Calibri" w:cs="Calibri"/>
              </w:rPr>
            </w:pPr>
            <w:r w:rsidRPr="00E92C22">
              <w:rPr>
                <w:rFonts w:ascii="Calibri" w:hAnsi="Calibri" w:cs="Calibri"/>
              </w:rPr>
              <w:t>65908</w:t>
            </w:r>
          </w:p>
        </w:tc>
        <w:tc>
          <w:tcPr>
            <w:tcW w:w="7371" w:type="dxa"/>
            <w:tcBorders>
              <w:top w:val="single" w:sz="4" w:space="0" w:color="auto"/>
              <w:left w:val="single" w:sz="4" w:space="0" w:color="auto"/>
              <w:bottom w:val="single" w:sz="4" w:space="0" w:color="auto"/>
              <w:right w:val="single" w:sz="4" w:space="0" w:color="auto"/>
            </w:tcBorders>
            <w:hideMark/>
          </w:tcPr>
          <w:p w14:paraId="0304368C" w14:textId="77777777" w:rsidR="00270FBF" w:rsidRPr="00E92C22" w:rsidRDefault="00270FBF" w:rsidP="00270FBF">
            <w:pPr>
              <w:rPr>
                <w:rFonts w:ascii="Calibri" w:hAnsi="Calibri" w:cs="Calibri"/>
              </w:rPr>
            </w:pPr>
            <w:r w:rsidRPr="00E92C22">
              <w:rPr>
                <w:rFonts w:ascii="Calibri" w:hAnsi="Calibri" w:cs="Calibri"/>
              </w:rPr>
              <w:t>Andrade LJ, Atta AM, Atta ML, et al (2011). Thyroid disorders in patients with chronic hepatitis C using interferon-alpha and ribavirin therapy. Braz J Infect Dis, 15(4): 377-81.</w:t>
            </w:r>
          </w:p>
        </w:tc>
      </w:tr>
      <w:tr w:rsidR="00270FBF" w14:paraId="27324FB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79330BB" w14:textId="77777777" w:rsidR="00270FBF" w:rsidRPr="00E92C22" w:rsidRDefault="00270FBF" w:rsidP="00270FBF">
            <w:pPr>
              <w:jc w:val="center"/>
              <w:rPr>
                <w:rFonts w:ascii="Calibri" w:hAnsi="Calibri" w:cs="Calibri"/>
              </w:rPr>
            </w:pPr>
            <w:r w:rsidRPr="00E92C22">
              <w:rPr>
                <w:rFonts w:ascii="Calibri" w:hAnsi="Calibri" w:cs="Calibri"/>
              </w:rPr>
              <w:t>66205</w:t>
            </w:r>
          </w:p>
        </w:tc>
        <w:tc>
          <w:tcPr>
            <w:tcW w:w="7371" w:type="dxa"/>
            <w:tcBorders>
              <w:top w:val="single" w:sz="4" w:space="0" w:color="auto"/>
              <w:left w:val="single" w:sz="4" w:space="0" w:color="auto"/>
              <w:bottom w:val="single" w:sz="4" w:space="0" w:color="auto"/>
              <w:right w:val="single" w:sz="4" w:space="0" w:color="auto"/>
            </w:tcBorders>
            <w:hideMark/>
          </w:tcPr>
          <w:p w14:paraId="24C1504D" w14:textId="77777777" w:rsidR="00270FBF" w:rsidRPr="00E92C22" w:rsidRDefault="00270FBF" w:rsidP="00270FBF">
            <w:pPr>
              <w:rPr>
                <w:rFonts w:ascii="Calibri" w:hAnsi="Calibri" w:cs="Calibri"/>
              </w:rPr>
            </w:pPr>
            <w:r w:rsidRPr="00E92C22">
              <w:rPr>
                <w:rFonts w:ascii="Calibri" w:hAnsi="Calibri" w:cs="Calibri"/>
              </w:rPr>
              <w:t>Antonelli A, Ferri C, Fallahi P, et al (2006). Thyroid disorders in chronic hepatitis C virus infection. Thyroid, 16(6): 563-72.</w:t>
            </w:r>
          </w:p>
        </w:tc>
      </w:tr>
      <w:tr w:rsidR="00270FBF" w14:paraId="0364FCE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0284292" w14:textId="77777777" w:rsidR="00270FBF" w:rsidRPr="00E92C22" w:rsidRDefault="00270FBF" w:rsidP="00270FBF">
            <w:pPr>
              <w:jc w:val="center"/>
              <w:rPr>
                <w:rFonts w:ascii="Calibri" w:hAnsi="Calibri" w:cs="Calibri"/>
              </w:rPr>
            </w:pPr>
            <w:r w:rsidRPr="00E92C22">
              <w:rPr>
                <w:rFonts w:ascii="Calibri" w:hAnsi="Calibri" w:cs="Calibri"/>
              </w:rPr>
              <w:t>66962</w:t>
            </w:r>
          </w:p>
        </w:tc>
        <w:tc>
          <w:tcPr>
            <w:tcW w:w="7371" w:type="dxa"/>
            <w:tcBorders>
              <w:top w:val="single" w:sz="4" w:space="0" w:color="auto"/>
              <w:left w:val="single" w:sz="4" w:space="0" w:color="auto"/>
              <w:bottom w:val="single" w:sz="4" w:space="0" w:color="auto"/>
              <w:right w:val="single" w:sz="4" w:space="0" w:color="auto"/>
            </w:tcBorders>
            <w:hideMark/>
          </w:tcPr>
          <w:p w14:paraId="338EABE3" w14:textId="77777777" w:rsidR="00270FBF" w:rsidRPr="00E92C22" w:rsidRDefault="00270FBF" w:rsidP="00270FBF">
            <w:pPr>
              <w:rPr>
                <w:rFonts w:ascii="Calibri" w:hAnsi="Calibri" w:cs="Calibri"/>
              </w:rPr>
            </w:pPr>
            <w:r w:rsidRPr="00E92C22">
              <w:rPr>
                <w:rFonts w:ascii="Calibri" w:hAnsi="Calibri" w:cs="Calibri"/>
              </w:rPr>
              <w:t xml:space="preserve">Antonelli A, Ferri C, Fallahi P, et al (2007). Clinical and subclinical autoimmune thyroid disorders in systemic sclerosis. </w:t>
            </w:r>
            <w:proofErr w:type="spellStart"/>
            <w:r w:rsidRPr="00E92C22">
              <w:rPr>
                <w:rFonts w:ascii="Calibri" w:hAnsi="Calibri" w:cs="Calibri"/>
              </w:rPr>
              <w:t>Eur</w:t>
            </w:r>
            <w:proofErr w:type="spellEnd"/>
            <w:r w:rsidRPr="00E92C22">
              <w:rPr>
                <w:rFonts w:ascii="Calibri" w:hAnsi="Calibri" w:cs="Calibri"/>
              </w:rPr>
              <w:t xml:space="preserve"> J Endocrinol, 156(4): 431-7.</w:t>
            </w:r>
          </w:p>
        </w:tc>
      </w:tr>
      <w:tr w:rsidR="00270FBF" w14:paraId="2BD78D1C"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4480BA7" w14:textId="77777777" w:rsidR="00270FBF" w:rsidRPr="00E92C22" w:rsidRDefault="00270FBF" w:rsidP="00270FBF">
            <w:pPr>
              <w:jc w:val="center"/>
              <w:rPr>
                <w:rFonts w:ascii="Calibri" w:hAnsi="Calibri" w:cs="Calibri"/>
              </w:rPr>
            </w:pPr>
            <w:r w:rsidRPr="00E92C22">
              <w:rPr>
                <w:rFonts w:ascii="Calibri" w:hAnsi="Calibri" w:cs="Calibri"/>
              </w:rPr>
              <w:t>101706</w:t>
            </w:r>
          </w:p>
        </w:tc>
        <w:tc>
          <w:tcPr>
            <w:tcW w:w="7371" w:type="dxa"/>
            <w:tcBorders>
              <w:top w:val="single" w:sz="4" w:space="0" w:color="auto"/>
              <w:left w:val="single" w:sz="4" w:space="0" w:color="auto"/>
              <w:bottom w:val="single" w:sz="4" w:space="0" w:color="auto"/>
              <w:right w:val="single" w:sz="4" w:space="0" w:color="auto"/>
            </w:tcBorders>
            <w:hideMark/>
          </w:tcPr>
          <w:p w14:paraId="6AF3F3A9" w14:textId="77777777" w:rsidR="00270FBF" w:rsidRPr="00E92C22" w:rsidRDefault="00270FBF" w:rsidP="00270FBF">
            <w:pPr>
              <w:rPr>
                <w:rFonts w:ascii="Calibri" w:hAnsi="Calibri" w:cs="Calibri"/>
              </w:rPr>
            </w:pPr>
            <w:r w:rsidRPr="00E92C22">
              <w:rPr>
                <w:rFonts w:ascii="Calibri" w:hAnsi="Calibri" w:cs="Calibri"/>
              </w:rPr>
              <w:t xml:space="preserve">Antonelli A, Ferri C, </w:t>
            </w:r>
            <w:proofErr w:type="spellStart"/>
            <w:r w:rsidRPr="00E92C22">
              <w:rPr>
                <w:rFonts w:ascii="Calibri" w:hAnsi="Calibri" w:cs="Calibri"/>
              </w:rPr>
              <w:t>Pampana</w:t>
            </w:r>
            <w:proofErr w:type="spellEnd"/>
            <w:r w:rsidRPr="00E92C22">
              <w:rPr>
                <w:rFonts w:ascii="Calibri" w:hAnsi="Calibri" w:cs="Calibri"/>
              </w:rPr>
              <w:t xml:space="preserve"> A, et al (2004). Thyroid disorders in chronic hepatitis C. Am J Med, 117(1): 10-3.</w:t>
            </w:r>
          </w:p>
        </w:tc>
      </w:tr>
      <w:tr w:rsidR="00270FBF" w14:paraId="56E3CDF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74D489C" w14:textId="77777777" w:rsidR="00270FBF" w:rsidRPr="00E92C22" w:rsidRDefault="00270FBF" w:rsidP="00270FBF">
            <w:pPr>
              <w:jc w:val="center"/>
              <w:rPr>
                <w:rFonts w:ascii="Calibri" w:hAnsi="Calibri" w:cs="Calibri"/>
              </w:rPr>
            </w:pPr>
            <w:r w:rsidRPr="00E92C22">
              <w:rPr>
                <w:rFonts w:ascii="Calibri" w:hAnsi="Calibri" w:cs="Calibri"/>
              </w:rPr>
              <w:t>65350</w:t>
            </w:r>
          </w:p>
        </w:tc>
        <w:tc>
          <w:tcPr>
            <w:tcW w:w="7371" w:type="dxa"/>
            <w:tcBorders>
              <w:top w:val="single" w:sz="4" w:space="0" w:color="auto"/>
              <w:left w:val="single" w:sz="4" w:space="0" w:color="auto"/>
              <w:bottom w:val="single" w:sz="4" w:space="0" w:color="auto"/>
              <w:right w:val="single" w:sz="4" w:space="0" w:color="auto"/>
            </w:tcBorders>
            <w:hideMark/>
          </w:tcPr>
          <w:p w14:paraId="3AE74F8E" w14:textId="77777777" w:rsidR="00270FBF" w:rsidRPr="00E92C22" w:rsidRDefault="00270FBF" w:rsidP="00270FBF">
            <w:pPr>
              <w:rPr>
                <w:rFonts w:ascii="Calibri" w:hAnsi="Calibri" w:cs="Calibri"/>
              </w:rPr>
            </w:pPr>
            <w:r w:rsidRPr="00E92C22">
              <w:rPr>
                <w:rFonts w:ascii="Calibri" w:hAnsi="Calibri" w:cs="Calibri"/>
              </w:rPr>
              <w:t xml:space="preserve">Aoki Y (2001). Polychlorinated biphenyls, polychlorinated dibenzo-p-dioxins, and polychlorinated dibenzofurans as endocrine disrupters--what we have learned from </w:t>
            </w:r>
            <w:proofErr w:type="spellStart"/>
            <w:r w:rsidRPr="00E92C22">
              <w:rPr>
                <w:rFonts w:ascii="Calibri" w:hAnsi="Calibri" w:cs="Calibri"/>
              </w:rPr>
              <w:t>Yusho</w:t>
            </w:r>
            <w:proofErr w:type="spellEnd"/>
            <w:r w:rsidRPr="00E92C22">
              <w:rPr>
                <w:rFonts w:ascii="Calibri" w:hAnsi="Calibri" w:cs="Calibri"/>
              </w:rPr>
              <w:t xml:space="preserve"> disease. Environ Res, 86(1): 2-11.</w:t>
            </w:r>
          </w:p>
        </w:tc>
      </w:tr>
      <w:tr w:rsidR="00270FBF" w14:paraId="1CC9985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C61F663" w14:textId="77777777" w:rsidR="00270FBF" w:rsidRPr="00E92C22" w:rsidRDefault="00270FBF" w:rsidP="00270FBF">
            <w:pPr>
              <w:jc w:val="center"/>
              <w:rPr>
                <w:rFonts w:ascii="Calibri" w:hAnsi="Calibri" w:cs="Calibri"/>
              </w:rPr>
            </w:pPr>
            <w:r w:rsidRPr="00E92C22">
              <w:rPr>
                <w:rFonts w:ascii="Calibri" w:hAnsi="Calibri" w:cs="Calibri"/>
              </w:rPr>
              <w:lastRenderedPageBreak/>
              <w:t>62543</w:t>
            </w:r>
          </w:p>
        </w:tc>
        <w:tc>
          <w:tcPr>
            <w:tcW w:w="7371" w:type="dxa"/>
            <w:tcBorders>
              <w:top w:val="single" w:sz="4" w:space="0" w:color="auto"/>
              <w:left w:val="single" w:sz="4" w:space="0" w:color="auto"/>
              <w:bottom w:val="single" w:sz="4" w:space="0" w:color="auto"/>
              <w:right w:val="single" w:sz="4" w:space="0" w:color="auto"/>
            </w:tcBorders>
            <w:hideMark/>
          </w:tcPr>
          <w:p w14:paraId="55363CDC" w14:textId="77777777" w:rsidR="00270FBF" w:rsidRPr="00E92C22" w:rsidRDefault="00270FBF" w:rsidP="00270FBF">
            <w:pPr>
              <w:rPr>
                <w:rFonts w:ascii="Calibri" w:hAnsi="Calibri" w:cs="Calibri"/>
              </w:rPr>
            </w:pPr>
            <w:r w:rsidRPr="00E92C22">
              <w:rPr>
                <w:rFonts w:ascii="Calibri" w:hAnsi="Calibri" w:cs="Calibri"/>
              </w:rPr>
              <w:t>Arisawa K, Takeda H, Mikasa H (2005). Background exposure to PCDDs/PCDFs/PCBs and its potential health effects: a review of epidemiologic studies. J Med Invest, 52(1-2): 10-21.</w:t>
            </w:r>
          </w:p>
        </w:tc>
      </w:tr>
      <w:tr w:rsidR="00270FBF" w14:paraId="27A019E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CE71CD2" w14:textId="77777777" w:rsidR="00270FBF" w:rsidRPr="00E92C22" w:rsidRDefault="00270FBF" w:rsidP="00270FBF">
            <w:pPr>
              <w:jc w:val="center"/>
              <w:rPr>
                <w:rFonts w:ascii="Calibri" w:hAnsi="Calibri" w:cs="Calibri"/>
              </w:rPr>
            </w:pPr>
            <w:r w:rsidRPr="00E92C22">
              <w:rPr>
                <w:rFonts w:ascii="Calibri" w:hAnsi="Calibri" w:cs="Calibri"/>
              </w:rPr>
              <w:t>102516</w:t>
            </w:r>
          </w:p>
        </w:tc>
        <w:tc>
          <w:tcPr>
            <w:tcW w:w="7371" w:type="dxa"/>
            <w:tcBorders>
              <w:top w:val="single" w:sz="4" w:space="0" w:color="auto"/>
              <w:left w:val="single" w:sz="4" w:space="0" w:color="auto"/>
              <w:bottom w:val="single" w:sz="4" w:space="0" w:color="auto"/>
              <w:right w:val="single" w:sz="4" w:space="0" w:color="auto"/>
            </w:tcBorders>
            <w:hideMark/>
          </w:tcPr>
          <w:p w14:paraId="494999DA" w14:textId="77777777" w:rsidR="00270FBF" w:rsidRPr="00E92C22" w:rsidRDefault="00270FBF" w:rsidP="00270FBF">
            <w:pPr>
              <w:rPr>
                <w:rFonts w:ascii="Calibri" w:hAnsi="Calibri" w:cs="Calibri"/>
              </w:rPr>
            </w:pPr>
            <w:r w:rsidRPr="00E92C22">
              <w:rPr>
                <w:rFonts w:ascii="Calibri" w:hAnsi="Calibri" w:cs="Calibri"/>
              </w:rPr>
              <w:t>Australian Medicines Handbook (2021). Amiodarone. Retrieved 12 October 2021, from https://amhonline.amh.net.au/chapters/cardiovascular-drugs/drugs-arrhythmias/antiarrhythmics/amiodarone</w:t>
            </w:r>
          </w:p>
        </w:tc>
      </w:tr>
      <w:tr w:rsidR="00270FBF" w14:paraId="0B77256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40DDD33" w14:textId="77777777" w:rsidR="00270FBF" w:rsidRPr="00E92C22" w:rsidRDefault="00270FBF" w:rsidP="00270FBF">
            <w:pPr>
              <w:jc w:val="center"/>
              <w:rPr>
                <w:rFonts w:ascii="Calibri" w:hAnsi="Calibri" w:cs="Calibri"/>
              </w:rPr>
            </w:pPr>
            <w:r w:rsidRPr="00E92C22">
              <w:rPr>
                <w:rFonts w:ascii="Calibri" w:hAnsi="Calibri" w:cs="Calibri"/>
              </w:rPr>
              <w:t>80744</w:t>
            </w:r>
          </w:p>
        </w:tc>
        <w:tc>
          <w:tcPr>
            <w:tcW w:w="7371" w:type="dxa"/>
            <w:tcBorders>
              <w:top w:val="single" w:sz="4" w:space="0" w:color="auto"/>
              <w:left w:val="single" w:sz="4" w:space="0" w:color="auto"/>
              <w:bottom w:val="single" w:sz="4" w:space="0" w:color="auto"/>
              <w:right w:val="single" w:sz="4" w:space="0" w:color="auto"/>
            </w:tcBorders>
            <w:hideMark/>
          </w:tcPr>
          <w:p w14:paraId="62EBCF28" w14:textId="77777777" w:rsidR="00270FBF" w:rsidRPr="00E92C22" w:rsidRDefault="00270FBF" w:rsidP="00270FBF">
            <w:pPr>
              <w:rPr>
                <w:rFonts w:ascii="Calibri" w:hAnsi="Calibri" w:cs="Calibri"/>
              </w:rPr>
            </w:pPr>
            <w:r w:rsidRPr="00E92C22">
              <w:rPr>
                <w:rFonts w:ascii="Calibri" w:hAnsi="Calibri" w:cs="Calibri"/>
              </w:rPr>
              <w:t xml:space="preserve">Australian Radiation Protection and Nuclear Safety Agency (2002). Estimations of Atomic Radiation Exposure in Australian Service Personnel in </w:t>
            </w:r>
            <w:proofErr w:type="gramStart"/>
            <w:r w:rsidRPr="00E92C22">
              <w:rPr>
                <w:rFonts w:ascii="Calibri" w:hAnsi="Calibri" w:cs="Calibri"/>
              </w:rPr>
              <w:t>South West</w:t>
            </w:r>
            <w:proofErr w:type="gramEnd"/>
            <w:r w:rsidRPr="00E92C22">
              <w:rPr>
                <w:rFonts w:ascii="Calibri" w:hAnsi="Calibri" w:cs="Calibri"/>
              </w:rPr>
              <w:t xml:space="preserve"> Japan 1946-52, Commonwealth Department of Veterans' Affairs.</w:t>
            </w:r>
          </w:p>
        </w:tc>
      </w:tr>
      <w:tr w:rsidR="00270FBF" w14:paraId="5C2062D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4E1804E" w14:textId="77777777" w:rsidR="00270FBF" w:rsidRPr="00E92C22" w:rsidRDefault="00270FBF" w:rsidP="00270FBF">
            <w:pPr>
              <w:jc w:val="center"/>
              <w:rPr>
                <w:rFonts w:ascii="Calibri" w:hAnsi="Calibri" w:cs="Calibri"/>
              </w:rPr>
            </w:pPr>
            <w:r w:rsidRPr="00E92C22">
              <w:rPr>
                <w:rFonts w:ascii="Calibri" w:hAnsi="Calibri" w:cs="Calibri"/>
              </w:rPr>
              <w:t>80718</w:t>
            </w:r>
          </w:p>
        </w:tc>
        <w:tc>
          <w:tcPr>
            <w:tcW w:w="7371" w:type="dxa"/>
            <w:tcBorders>
              <w:top w:val="single" w:sz="4" w:space="0" w:color="auto"/>
              <w:left w:val="single" w:sz="4" w:space="0" w:color="auto"/>
              <w:bottom w:val="single" w:sz="4" w:space="0" w:color="auto"/>
              <w:right w:val="single" w:sz="4" w:space="0" w:color="auto"/>
            </w:tcBorders>
            <w:hideMark/>
          </w:tcPr>
          <w:p w14:paraId="0A042587" w14:textId="77777777" w:rsidR="00270FBF" w:rsidRPr="00E92C22" w:rsidRDefault="00270FBF" w:rsidP="00270FBF">
            <w:pPr>
              <w:rPr>
                <w:rFonts w:ascii="Calibri" w:hAnsi="Calibri" w:cs="Calibri"/>
              </w:rPr>
            </w:pPr>
            <w:r w:rsidRPr="00E92C22">
              <w:rPr>
                <w:rFonts w:ascii="Calibri" w:hAnsi="Calibri" w:cs="Calibri"/>
              </w:rPr>
              <w:t>Australian Radiation Protection and Nuclear Safety Agency (2012). Radiation protection: alpha particles. Retrieved 6 February 2017, from http://www.arpansa.gov.au/radiationprotection/basics/alpha.cfm</w:t>
            </w:r>
          </w:p>
        </w:tc>
      </w:tr>
      <w:tr w:rsidR="00270FBF" w14:paraId="752BCA1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17BBD4C" w14:textId="77777777" w:rsidR="00270FBF" w:rsidRPr="00E92C22" w:rsidRDefault="00270FBF" w:rsidP="00270FBF">
            <w:pPr>
              <w:jc w:val="center"/>
              <w:rPr>
                <w:rFonts w:ascii="Calibri" w:hAnsi="Calibri" w:cs="Calibri"/>
              </w:rPr>
            </w:pPr>
            <w:r w:rsidRPr="00E92C22">
              <w:rPr>
                <w:rFonts w:ascii="Calibri" w:hAnsi="Calibri" w:cs="Calibri"/>
              </w:rPr>
              <w:t>80721</w:t>
            </w:r>
          </w:p>
        </w:tc>
        <w:tc>
          <w:tcPr>
            <w:tcW w:w="7371" w:type="dxa"/>
            <w:tcBorders>
              <w:top w:val="single" w:sz="4" w:space="0" w:color="auto"/>
              <w:left w:val="single" w:sz="4" w:space="0" w:color="auto"/>
              <w:bottom w:val="single" w:sz="4" w:space="0" w:color="auto"/>
              <w:right w:val="single" w:sz="4" w:space="0" w:color="auto"/>
            </w:tcBorders>
            <w:hideMark/>
          </w:tcPr>
          <w:p w14:paraId="6319F07D" w14:textId="77777777" w:rsidR="00270FBF" w:rsidRPr="00E92C22" w:rsidRDefault="00270FBF" w:rsidP="00270FBF">
            <w:pPr>
              <w:rPr>
                <w:rFonts w:ascii="Calibri" w:hAnsi="Calibri" w:cs="Calibri"/>
              </w:rPr>
            </w:pPr>
            <w:r w:rsidRPr="00E92C22">
              <w:rPr>
                <w:rFonts w:ascii="Calibri" w:hAnsi="Calibri" w:cs="Calibri"/>
              </w:rPr>
              <w:t xml:space="preserve">Australian Radiation Protection and Nuclear Safety Agency (2012). Radiation protection: Radiation basics - ionising and </w:t>
            </w:r>
            <w:proofErr w:type="spellStart"/>
            <w:r w:rsidRPr="00E92C22">
              <w:rPr>
                <w:rFonts w:ascii="Calibri" w:hAnsi="Calibri" w:cs="Calibri"/>
              </w:rPr>
              <w:t>non ionising</w:t>
            </w:r>
            <w:proofErr w:type="spellEnd"/>
            <w:r w:rsidRPr="00E92C22">
              <w:rPr>
                <w:rFonts w:ascii="Calibri" w:hAnsi="Calibri" w:cs="Calibri"/>
              </w:rPr>
              <w:t xml:space="preserve"> radiation. Retrieved 6 February 2017, from http://www.arpansa.gov.au/radiationprotection/basics/ion_nonion.cfm</w:t>
            </w:r>
          </w:p>
        </w:tc>
      </w:tr>
      <w:tr w:rsidR="00270FBF" w14:paraId="3C4552E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BF5D184" w14:textId="77777777" w:rsidR="00270FBF" w:rsidRPr="00E92C22" w:rsidRDefault="00270FBF" w:rsidP="00270FBF">
            <w:pPr>
              <w:jc w:val="center"/>
              <w:rPr>
                <w:rFonts w:ascii="Calibri" w:hAnsi="Calibri" w:cs="Calibri"/>
              </w:rPr>
            </w:pPr>
            <w:r w:rsidRPr="00E92C22">
              <w:rPr>
                <w:rFonts w:ascii="Calibri" w:hAnsi="Calibri" w:cs="Calibri"/>
              </w:rPr>
              <w:t>80725</w:t>
            </w:r>
          </w:p>
        </w:tc>
        <w:tc>
          <w:tcPr>
            <w:tcW w:w="7371" w:type="dxa"/>
            <w:tcBorders>
              <w:top w:val="single" w:sz="4" w:space="0" w:color="auto"/>
              <w:left w:val="single" w:sz="4" w:space="0" w:color="auto"/>
              <w:bottom w:val="single" w:sz="4" w:space="0" w:color="auto"/>
              <w:right w:val="single" w:sz="4" w:space="0" w:color="auto"/>
            </w:tcBorders>
            <w:hideMark/>
          </w:tcPr>
          <w:p w14:paraId="10738F18" w14:textId="77777777" w:rsidR="00270FBF" w:rsidRPr="00E92C22" w:rsidRDefault="00270FBF" w:rsidP="00270FBF">
            <w:pPr>
              <w:rPr>
                <w:rFonts w:ascii="Calibri" w:hAnsi="Calibri" w:cs="Calibri"/>
              </w:rPr>
            </w:pPr>
            <w:r w:rsidRPr="00E92C22">
              <w:rPr>
                <w:rFonts w:ascii="Calibri" w:hAnsi="Calibri" w:cs="Calibri"/>
              </w:rPr>
              <w:t>Australian Radiation Protection and Nuclear Safety Agency (2012). Radiation protection: health effects of ionising radiation. Retrieved 6 February 2017, from http://www.arpansa.gov.au/radiationprotection/basics/health_ion.cfm</w:t>
            </w:r>
          </w:p>
        </w:tc>
      </w:tr>
      <w:tr w:rsidR="00270FBF" w14:paraId="6E82ECE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A8A30D3" w14:textId="77777777" w:rsidR="00270FBF" w:rsidRPr="00E92C22" w:rsidRDefault="00270FBF" w:rsidP="00270FBF">
            <w:pPr>
              <w:jc w:val="center"/>
              <w:rPr>
                <w:rFonts w:ascii="Calibri" w:hAnsi="Calibri" w:cs="Calibri"/>
              </w:rPr>
            </w:pPr>
            <w:r w:rsidRPr="00E92C22">
              <w:rPr>
                <w:rFonts w:ascii="Calibri" w:hAnsi="Calibri" w:cs="Calibri"/>
              </w:rPr>
              <w:t>80745</w:t>
            </w:r>
          </w:p>
        </w:tc>
        <w:tc>
          <w:tcPr>
            <w:tcW w:w="7371" w:type="dxa"/>
            <w:tcBorders>
              <w:top w:val="single" w:sz="4" w:space="0" w:color="auto"/>
              <w:left w:val="single" w:sz="4" w:space="0" w:color="auto"/>
              <w:bottom w:val="single" w:sz="4" w:space="0" w:color="auto"/>
              <w:right w:val="single" w:sz="4" w:space="0" w:color="auto"/>
            </w:tcBorders>
            <w:hideMark/>
          </w:tcPr>
          <w:p w14:paraId="327FDE61" w14:textId="77777777" w:rsidR="00270FBF" w:rsidRPr="00E92C22" w:rsidRDefault="00270FBF" w:rsidP="00270FBF">
            <w:pPr>
              <w:rPr>
                <w:rFonts w:ascii="Calibri" w:hAnsi="Calibri" w:cs="Calibri"/>
              </w:rPr>
            </w:pPr>
            <w:r w:rsidRPr="00E92C22">
              <w:rPr>
                <w:rFonts w:ascii="Calibri" w:hAnsi="Calibri" w:cs="Calibri"/>
              </w:rPr>
              <w:t>Australian Radiation Protection and Nuclear Safety Agency (2012). Radiation protection: Beta particles. Retrieved 8 February 2017, from http://www.arpansa.gov.au/radiationprotection/basics/beta.cfm</w:t>
            </w:r>
          </w:p>
        </w:tc>
      </w:tr>
      <w:tr w:rsidR="00270FBF" w14:paraId="713FFC7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FC74691" w14:textId="77777777" w:rsidR="00270FBF" w:rsidRPr="00E92C22" w:rsidRDefault="00270FBF" w:rsidP="00270FBF">
            <w:pPr>
              <w:jc w:val="center"/>
              <w:rPr>
                <w:rFonts w:ascii="Calibri" w:hAnsi="Calibri" w:cs="Calibri"/>
              </w:rPr>
            </w:pPr>
            <w:r w:rsidRPr="00E92C22">
              <w:rPr>
                <w:rFonts w:ascii="Calibri" w:hAnsi="Calibri" w:cs="Calibri"/>
              </w:rPr>
              <w:t>80723</w:t>
            </w:r>
          </w:p>
        </w:tc>
        <w:tc>
          <w:tcPr>
            <w:tcW w:w="7371" w:type="dxa"/>
            <w:tcBorders>
              <w:top w:val="single" w:sz="4" w:space="0" w:color="auto"/>
              <w:left w:val="single" w:sz="4" w:space="0" w:color="auto"/>
              <w:bottom w:val="single" w:sz="4" w:space="0" w:color="auto"/>
              <w:right w:val="single" w:sz="4" w:space="0" w:color="auto"/>
            </w:tcBorders>
            <w:hideMark/>
          </w:tcPr>
          <w:p w14:paraId="0AEAEAD7" w14:textId="77777777" w:rsidR="00270FBF" w:rsidRPr="00E92C22" w:rsidRDefault="00270FBF" w:rsidP="00270FBF">
            <w:pPr>
              <w:rPr>
                <w:rFonts w:ascii="Calibri" w:hAnsi="Calibri" w:cs="Calibri"/>
              </w:rPr>
            </w:pPr>
            <w:r w:rsidRPr="00E92C22">
              <w:rPr>
                <w:rFonts w:ascii="Calibri" w:hAnsi="Calibri" w:cs="Calibri"/>
              </w:rPr>
              <w:t>Australian Radiation Protection and Nuclear Safety Agency (2015). Radiation protection: units of ionising radiation measurement. Retrieved 6 February 2017, from http://www.arpansa.gov.au/RadiationProtection/Basics/units/cfm</w:t>
            </w:r>
          </w:p>
        </w:tc>
      </w:tr>
      <w:tr w:rsidR="00270FBF" w14:paraId="5C2D7FB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EC64511" w14:textId="77777777" w:rsidR="00270FBF" w:rsidRPr="00E92C22" w:rsidRDefault="00270FBF" w:rsidP="00270FBF">
            <w:pPr>
              <w:jc w:val="center"/>
              <w:rPr>
                <w:rFonts w:ascii="Calibri" w:hAnsi="Calibri" w:cs="Calibri"/>
              </w:rPr>
            </w:pPr>
            <w:r w:rsidRPr="00E92C22">
              <w:rPr>
                <w:rFonts w:ascii="Calibri" w:hAnsi="Calibri" w:cs="Calibri"/>
              </w:rPr>
              <w:t>80724</w:t>
            </w:r>
          </w:p>
        </w:tc>
        <w:tc>
          <w:tcPr>
            <w:tcW w:w="7371" w:type="dxa"/>
            <w:tcBorders>
              <w:top w:val="single" w:sz="4" w:space="0" w:color="auto"/>
              <w:left w:val="single" w:sz="4" w:space="0" w:color="auto"/>
              <w:bottom w:val="single" w:sz="4" w:space="0" w:color="auto"/>
              <w:right w:val="single" w:sz="4" w:space="0" w:color="auto"/>
            </w:tcBorders>
            <w:hideMark/>
          </w:tcPr>
          <w:p w14:paraId="5754682E" w14:textId="77777777" w:rsidR="00270FBF" w:rsidRPr="00E92C22" w:rsidRDefault="00270FBF" w:rsidP="00270FBF">
            <w:pPr>
              <w:rPr>
                <w:rFonts w:ascii="Calibri" w:hAnsi="Calibri" w:cs="Calibri"/>
              </w:rPr>
            </w:pPr>
            <w:r w:rsidRPr="00E92C22">
              <w:rPr>
                <w:rFonts w:ascii="Calibri" w:hAnsi="Calibri" w:cs="Calibri"/>
              </w:rPr>
              <w:t>Australian Radiation Protection and Nuclear Safety Agency (2015). Fact sheet: Ionising radiation and health. Retrieved 6 February 2017, from http://arpansa.gov.au/RadiationProtection/Factsheet/is_ionising.cfm</w:t>
            </w:r>
          </w:p>
        </w:tc>
      </w:tr>
      <w:tr w:rsidR="00270FBF" w14:paraId="0A4581E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88A0CA9" w14:textId="77777777" w:rsidR="00270FBF" w:rsidRPr="00E92C22" w:rsidRDefault="00270FBF" w:rsidP="00270FBF">
            <w:pPr>
              <w:jc w:val="center"/>
              <w:rPr>
                <w:rFonts w:ascii="Calibri" w:hAnsi="Calibri" w:cs="Calibri"/>
              </w:rPr>
            </w:pPr>
            <w:r w:rsidRPr="00E92C22">
              <w:rPr>
                <w:rFonts w:ascii="Calibri" w:hAnsi="Calibri" w:cs="Calibri"/>
              </w:rPr>
              <w:t>80726</w:t>
            </w:r>
          </w:p>
        </w:tc>
        <w:tc>
          <w:tcPr>
            <w:tcW w:w="7371" w:type="dxa"/>
            <w:tcBorders>
              <w:top w:val="single" w:sz="4" w:space="0" w:color="auto"/>
              <w:left w:val="single" w:sz="4" w:space="0" w:color="auto"/>
              <w:bottom w:val="single" w:sz="4" w:space="0" w:color="auto"/>
              <w:right w:val="single" w:sz="4" w:space="0" w:color="auto"/>
            </w:tcBorders>
            <w:hideMark/>
          </w:tcPr>
          <w:p w14:paraId="4314A688" w14:textId="77777777" w:rsidR="00270FBF" w:rsidRPr="00E92C22" w:rsidRDefault="00270FBF" w:rsidP="00270FBF">
            <w:pPr>
              <w:rPr>
                <w:rFonts w:ascii="Calibri" w:hAnsi="Calibri" w:cs="Calibri"/>
              </w:rPr>
            </w:pPr>
            <w:r w:rsidRPr="006E1170">
              <w:rPr>
                <w:rFonts w:ascii="Calibri" w:hAnsi="Calibri" w:cs="Calibri"/>
                <w:lang w:val="de-DE"/>
              </w:rPr>
              <w:t xml:space="preserve">Azizova TV, Grigoryeva ES, Haylock RG, et al (2015). </w:t>
            </w:r>
            <w:r w:rsidRPr="00E92C22">
              <w:rPr>
                <w:rFonts w:ascii="Calibri" w:hAnsi="Calibri" w:cs="Calibri"/>
              </w:rPr>
              <w:t xml:space="preserve">Ischaemic heart disease incidence and mortality in an extended cohort of Mayak workers first employed in 1948-1982. Br J </w:t>
            </w:r>
            <w:proofErr w:type="spellStart"/>
            <w:r w:rsidRPr="00E92C22">
              <w:rPr>
                <w:rFonts w:ascii="Calibri" w:hAnsi="Calibri" w:cs="Calibri"/>
              </w:rPr>
              <w:t>Radiol</w:t>
            </w:r>
            <w:proofErr w:type="spellEnd"/>
            <w:r w:rsidRPr="00E92C22">
              <w:rPr>
                <w:rFonts w:ascii="Calibri" w:hAnsi="Calibri" w:cs="Calibri"/>
              </w:rPr>
              <w:t>, 88(1054): 20150169.</w:t>
            </w:r>
          </w:p>
        </w:tc>
      </w:tr>
      <w:tr w:rsidR="00270FBF" w14:paraId="2C786DF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95543C" w14:textId="77777777" w:rsidR="00270FBF" w:rsidRPr="00E92C22" w:rsidRDefault="00270FBF" w:rsidP="00270FBF">
            <w:pPr>
              <w:jc w:val="center"/>
              <w:rPr>
                <w:rFonts w:ascii="Calibri" w:hAnsi="Calibri" w:cs="Calibri"/>
              </w:rPr>
            </w:pPr>
            <w:r w:rsidRPr="00E92C22">
              <w:rPr>
                <w:rFonts w:ascii="Calibri" w:hAnsi="Calibri" w:cs="Calibri"/>
              </w:rPr>
              <w:t>21386</w:t>
            </w:r>
          </w:p>
        </w:tc>
        <w:tc>
          <w:tcPr>
            <w:tcW w:w="7371" w:type="dxa"/>
            <w:tcBorders>
              <w:top w:val="single" w:sz="4" w:space="0" w:color="auto"/>
              <w:left w:val="single" w:sz="4" w:space="0" w:color="auto"/>
              <w:bottom w:val="single" w:sz="4" w:space="0" w:color="auto"/>
              <w:right w:val="single" w:sz="4" w:space="0" w:color="auto"/>
            </w:tcBorders>
            <w:hideMark/>
          </w:tcPr>
          <w:p w14:paraId="26CD490E" w14:textId="77777777" w:rsidR="00270FBF" w:rsidRPr="00E92C22" w:rsidRDefault="00270FBF" w:rsidP="00270FBF">
            <w:pPr>
              <w:rPr>
                <w:rFonts w:ascii="Calibri" w:hAnsi="Calibri" w:cs="Calibri"/>
              </w:rPr>
            </w:pPr>
            <w:r w:rsidRPr="00E92C22">
              <w:rPr>
                <w:rFonts w:ascii="Calibri" w:hAnsi="Calibri" w:cs="Calibri"/>
              </w:rPr>
              <w:t xml:space="preserve">Babic Leko M, </w:t>
            </w:r>
            <w:proofErr w:type="spellStart"/>
            <w:r w:rsidRPr="00E92C22">
              <w:rPr>
                <w:rFonts w:ascii="Calibri" w:hAnsi="Calibri" w:cs="Calibri"/>
              </w:rPr>
              <w:t>Gunjaca</w:t>
            </w:r>
            <w:proofErr w:type="spellEnd"/>
            <w:r w:rsidRPr="00E92C22">
              <w:rPr>
                <w:rFonts w:ascii="Calibri" w:hAnsi="Calibri" w:cs="Calibri"/>
              </w:rPr>
              <w:t xml:space="preserve"> I, </w:t>
            </w:r>
            <w:proofErr w:type="spellStart"/>
            <w:r w:rsidRPr="00E92C22">
              <w:rPr>
                <w:rFonts w:ascii="Calibri" w:hAnsi="Calibri" w:cs="Calibri"/>
              </w:rPr>
              <w:t>Pleic</w:t>
            </w:r>
            <w:proofErr w:type="spellEnd"/>
            <w:r w:rsidRPr="00E92C22">
              <w:rPr>
                <w:rFonts w:ascii="Calibri" w:hAnsi="Calibri" w:cs="Calibri"/>
              </w:rPr>
              <w:t xml:space="preserve"> N, et al (2021). Environmental factors affecting thyroid-stimulating hormone and thyroid hormone levels. Int J Mol Sci, 22(12): 6521.</w:t>
            </w:r>
          </w:p>
        </w:tc>
      </w:tr>
      <w:tr w:rsidR="00270FBF" w14:paraId="0FEA104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31F41F9" w14:textId="77777777" w:rsidR="00270FBF" w:rsidRPr="00E92C22" w:rsidRDefault="00270FBF" w:rsidP="00270FBF">
            <w:pPr>
              <w:jc w:val="center"/>
              <w:rPr>
                <w:rFonts w:ascii="Calibri" w:hAnsi="Calibri" w:cs="Calibri"/>
              </w:rPr>
            </w:pPr>
            <w:r w:rsidRPr="00E92C22">
              <w:rPr>
                <w:rFonts w:ascii="Calibri" w:hAnsi="Calibri" w:cs="Calibri"/>
              </w:rPr>
              <w:t>64577</w:t>
            </w:r>
          </w:p>
        </w:tc>
        <w:tc>
          <w:tcPr>
            <w:tcW w:w="7371" w:type="dxa"/>
            <w:tcBorders>
              <w:top w:val="single" w:sz="4" w:space="0" w:color="auto"/>
              <w:left w:val="single" w:sz="4" w:space="0" w:color="auto"/>
              <w:bottom w:val="single" w:sz="4" w:space="0" w:color="auto"/>
              <w:right w:val="single" w:sz="4" w:space="0" w:color="auto"/>
            </w:tcBorders>
            <w:hideMark/>
          </w:tcPr>
          <w:p w14:paraId="0132AB80" w14:textId="77777777" w:rsidR="00270FBF" w:rsidRPr="00E92C22" w:rsidRDefault="00270FBF" w:rsidP="00270FBF">
            <w:pPr>
              <w:rPr>
                <w:rFonts w:ascii="Calibri" w:hAnsi="Calibri" w:cs="Calibri"/>
              </w:rPr>
            </w:pPr>
            <w:r w:rsidRPr="006E1170">
              <w:rPr>
                <w:rFonts w:ascii="Calibri" w:hAnsi="Calibri" w:cs="Calibri"/>
                <w:lang w:val="de-DE"/>
              </w:rPr>
              <w:t xml:space="preserve">Bakhshandeh M, Hashemi B, Mahdavi SR, et al (2012). </w:t>
            </w:r>
            <w:r w:rsidRPr="00E92C22">
              <w:rPr>
                <w:rFonts w:ascii="Calibri" w:hAnsi="Calibri" w:cs="Calibri"/>
              </w:rPr>
              <w:t xml:space="preserve">Evaluation of thyroid disorders during head-and-neck radiotherapy by using functional analysis and ultrasonography. Int J </w:t>
            </w:r>
            <w:proofErr w:type="spellStart"/>
            <w:r w:rsidRPr="00E92C22">
              <w:rPr>
                <w:rFonts w:ascii="Calibri" w:hAnsi="Calibri" w:cs="Calibri"/>
              </w:rPr>
              <w:t>Radiat</w:t>
            </w:r>
            <w:proofErr w:type="spellEnd"/>
            <w:r w:rsidRPr="00E92C22">
              <w:rPr>
                <w:rFonts w:ascii="Calibri" w:hAnsi="Calibri" w:cs="Calibri"/>
              </w:rPr>
              <w:t xml:space="preserve"> Oncol Biol Phys, 83(1): 198-203.</w:t>
            </w:r>
          </w:p>
        </w:tc>
      </w:tr>
      <w:tr w:rsidR="00270FBF" w14:paraId="1F19B60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17EAE1D" w14:textId="77777777" w:rsidR="00270FBF" w:rsidRPr="00E92C22" w:rsidRDefault="00270FBF" w:rsidP="00270FBF">
            <w:pPr>
              <w:jc w:val="center"/>
              <w:rPr>
                <w:rFonts w:ascii="Calibri" w:hAnsi="Calibri" w:cs="Calibri"/>
              </w:rPr>
            </w:pPr>
            <w:r w:rsidRPr="00E92C22">
              <w:rPr>
                <w:rFonts w:ascii="Calibri" w:hAnsi="Calibri" w:cs="Calibri"/>
              </w:rPr>
              <w:t>102785</w:t>
            </w:r>
          </w:p>
        </w:tc>
        <w:tc>
          <w:tcPr>
            <w:tcW w:w="7371" w:type="dxa"/>
            <w:tcBorders>
              <w:top w:val="single" w:sz="4" w:space="0" w:color="auto"/>
              <w:left w:val="single" w:sz="4" w:space="0" w:color="auto"/>
              <w:bottom w:val="single" w:sz="4" w:space="0" w:color="auto"/>
              <w:right w:val="single" w:sz="4" w:space="0" w:color="auto"/>
            </w:tcBorders>
            <w:hideMark/>
          </w:tcPr>
          <w:p w14:paraId="13EA505D" w14:textId="77777777" w:rsidR="00270FBF" w:rsidRPr="00E92C22" w:rsidRDefault="00270FBF" w:rsidP="00270FBF">
            <w:pPr>
              <w:rPr>
                <w:rFonts w:ascii="Calibri" w:hAnsi="Calibri" w:cs="Calibri"/>
              </w:rPr>
            </w:pPr>
            <w:r w:rsidRPr="00E92C22">
              <w:rPr>
                <w:rFonts w:ascii="Calibri" w:hAnsi="Calibri" w:cs="Calibri"/>
              </w:rPr>
              <w:t>Baranowska-Bik A, Bik W (2020). The association of obesity with autoimmune thyroiditis and thyroid function-possible mechanisms of bilateral interaction. Int J Endocrinol, 2020: 8894792.</w:t>
            </w:r>
          </w:p>
        </w:tc>
      </w:tr>
      <w:tr w:rsidR="00270FBF" w14:paraId="2254834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867CE4B" w14:textId="77777777" w:rsidR="00270FBF" w:rsidRPr="00E92C22" w:rsidRDefault="00270FBF" w:rsidP="00270FBF">
            <w:pPr>
              <w:jc w:val="center"/>
              <w:rPr>
                <w:rFonts w:ascii="Calibri" w:hAnsi="Calibri" w:cs="Calibri"/>
              </w:rPr>
            </w:pPr>
            <w:r w:rsidRPr="00E92C22">
              <w:rPr>
                <w:rFonts w:ascii="Calibri" w:hAnsi="Calibri" w:cs="Calibri"/>
              </w:rPr>
              <w:t>85792</w:t>
            </w:r>
          </w:p>
        </w:tc>
        <w:tc>
          <w:tcPr>
            <w:tcW w:w="7371" w:type="dxa"/>
            <w:tcBorders>
              <w:top w:val="single" w:sz="4" w:space="0" w:color="auto"/>
              <w:left w:val="single" w:sz="4" w:space="0" w:color="auto"/>
              <w:bottom w:val="single" w:sz="4" w:space="0" w:color="auto"/>
              <w:right w:val="single" w:sz="4" w:space="0" w:color="auto"/>
            </w:tcBorders>
            <w:hideMark/>
          </w:tcPr>
          <w:p w14:paraId="0161DC7E" w14:textId="77777777" w:rsidR="00270FBF" w:rsidRPr="00E92C22" w:rsidRDefault="00270FBF" w:rsidP="00270FBF">
            <w:pPr>
              <w:rPr>
                <w:rFonts w:ascii="Calibri" w:hAnsi="Calibri" w:cs="Calibri"/>
              </w:rPr>
            </w:pPr>
            <w:r w:rsidRPr="00E92C22">
              <w:rPr>
                <w:rFonts w:ascii="Calibri" w:hAnsi="Calibri" w:cs="Calibri"/>
              </w:rPr>
              <w:t>Barroso-Sousa R, Barry WT, Garrido-Castro AC, et al (2018). Incidence of endocrine dysfunction following the use of different immune checkpoint inhibitor regimens: A systematic review and meta-analysis. JAMA Oncol, 4(2): 173-82.</w:t>
            </w:r>
          </w:p>
        </w:tc>
      </w:tr>
      <w:tr w:rsidR="00270FBF" w14:paraId="69537379"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F3CE26F" w14:textId="77777777" w:rsidR="00270FBF" w:rsidRPr="00E92C22" w:rsidRDefault="00270FBF" w:rsidP="00270FBF">
            <w:pPr>
              <w:jc w:val="center"/>
              <w:rPr>
                <w:rFonts w:ascii="Calibri" w:hAnsi="Calibri" w:cs="Calibri"/>
              </w:rPr>
            </w:pPr>
            <w:r w:rsidRPr="00E92C22">
              <w:rPr>
                <w:rFonts w:ascii="Calibri" w:hAnsi="Calibri" w:cs="Calibri"/>
              </w:rPr>
              <w:t>67018</w:t>
            </w:r>
          </w:p>
        </w:tc>
        <w:tc>
          <w:tcPr>
            <w:tcW w:w="7371" w:type="dxa"/>
            <w:tcBorders>
              <w:top w:val="single" w:sz="4" w:space="0" w:color="auto"/>
              <w:left w:val="single" w:sz="4" w:space="0" w:color="auto"/>
              <w:bottom w:val="single" w:sz="4" w:space="0" w:color="auto"/>
              <w:right w:val="single" w:sz="4" w:space="0" w:color="auto"/>
            </w:tcBorders>
            <w:hideMark/>
          </w:tcPr>
          <w:p w14:paraId="7DC77EAB" w14:textId="77777777" w:rsidR="00270FBF" w:rsidRPr="00E92C22" w:rsidRDefault="00270FBF" w:rsidP="00270FBF">
            <w:pPr>
              <w:rPr>
                <w:rFonts w:ascii="Calibri" w:hAnsi="Calibri" w:cs="Calibri"/>
              </w:rPr>
            </w:pPr>
            <w:r w:rsidRPr="00E92C22">
              <w:rPr>
                <w:rFonts w:ascii="Calibri" w:hAnsi="Calibri" w:cs="Calibri"/>
              </w:rPr>
              <w:t xml:space="preserve">Bassi V, Marino G, </w:t>
            </w:r>
            <w:proofErr w:type="spellStart"/>
            <w:r w:rsidRPr="00E92C22">
              <w:rPr>
                <w:rFonts w:ascii="Calibri" w:hAnsi="Calibri" w:cs="Calibri"/>
              </w:rPr>
              <w:t>Iengo</w:t>
            </w:r>
            <w:proofErr w:type="spellEnd"/>
            <w:r w:rsidRPr="00E92C22">
              <w:rPr>
                <w:rFonts w:ascii="Calibri" w:hAnsi="Calibri" w:cs="Calibri"/>
              </w:rPr>
              <w:t xml:space="preserve"> A, et al (2012). Autoimmune thyroid diseases and Helicobacter pylori: the correlation is present only in Graves's disease. World J Gastroenterol, 18(10): 1093-7.</w:t>
            </w:r>
          </w:p>
        </w:tc>
      </w:tr>
      <w:tr w:rsidR="00270FBF" w14:paraId="6F62ADA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181C93D" w14:textId="77777777" w:rsidR="00270FBF" w:rsidRPr="00E92C22" w:rsidRDefault="00270FBF" w:rsidP="00270FBF">
            <w:pPr>
              <w:jc w:val="center"/>
              <w:rPr>
                <w:rFonts w:ascii="Calibri" w:hAnsi="Calibri" w:cs="Calibri"/>
              </w:rPr>
            </w:pPr>
            <w:r w:rsidRPr="00E92C22">
              <w:rPr>
                <w:rFonts w:ascii="Calibri" w:hAnsi="Calibri" w:cs="Calibri"/>
              </w:rPr>
              <w:lastRenderedPageBreak/>
              <w:t>65361</w:t>
            </w:r>
          </w:p>
        </w:tc>
        <w:tc>
          <w:tcPr>
            <w:tcW w:w="7371" w:type="dxa"/>
            <w:tcBorders>
              <w:top w:val="single" w:sz="4" w:space="0" w:color="auto"/>
              <w:left w:val="single" w:sz="4" w:space="0" w:color="auto"/>
              <w:bottom w:val="single" w:sz="4" w:space="0" w:color="auto"/>
              <w:right w:val="single" w:sz="4" w:space="0" w:color="auto"/>
            </w:tcBorders>
            <w:hideMark/>
          </w:tcPr>
          <w:p w14:paraId="2B1212A9" w14:textId="77777777" w:rsidR="00270FBF" w:rsidRPr="00E92C22" w:rsidRDefault="00270FBF" w:rsidP="00270FBF">
            <w:pPr>
              <w:rPr>
                <w:rFonts w:ascii="Calibri" w:hAnsi="Calibri" w:cs="Calibri"/>
              </w:rPr>
            </w:pPr>
            <w:r w:rsidRPr="00E92C22">
              <w:rPr>
                <w:rFonts w:ascii="Calibri" w:hAnsi="Calibri" w:cs="Calibri"/>
              </w:rPr>
              <w:t xml:space="preserve">Bassi V, Santinelli C, </w:t>
            </w:r>
            <w:proofErr w:type="spellStart"/>
            <w:r w:rsidRPr="00E92C22">
              <w:rPr>
                <w:rFonts w:ascii="Calibri" w:hAnsi="Calibri" w:cs="Calibri"/>
              </w:rPr>
              <w:t>Iengo</w:t>
            </w:r>
            <w:proofErr w:type="spellEnd"/>
            <w:r w:rsidRPr="00E92C22">
              <w:rPr>
                <w:rFonts w:ascii="Calibri" w:hAnsi="Calibri" w:cs="Calibri"/>
              </w:rPr>
              <w:t xml:space="preserve"> A, et al (2010). Identification of a correlation between Helicobacter pylori infection and Graves' disease. Helicobacter, 15(6): 558-62.</w:t>
            </w:r>
          </w:p>
        </w:tc>
      </w:tr>
      <w:tr w:rsidR="00270FBF" w14:paraId="5293558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7AC5B06" w14:textId="77777777" w:rsidR="00270FBF" w:rsidRPr="00E92C22" w:rsidRDefault="00270FBF" w:rsidP="00270FBF">
            <w:pPr>
              <w:jc w:val="center"/>
              <w:rPr>
                <w:rFonts w:ascii="Calibri" w:hAnsi="Calibri" w:cs="Calibri"/>
              </w:rPr>
            </w:pPr>
            <w:r w:rsidRPr="00E92C22">
              <w:rPr>
                <w:rFonts w:ascii="Calibri" w:hAnsi="Calibri" w:cs="Calibri"/>
              </w:rPr>
              <w:t>101708</w:t>
            </w:r>
          </w:p>
        </w:tc>
        <w:tc>
          <w:tcPr>
            <w:tcW w:w="7371" w:type="dxa"/>
            <w:tcBorders>
              <w:top w:val="single" w:sz="4" w:space="0" w:color="auto"/>
              <w:left w:val="single" w:sz="4" w:space="0" w:color="auto"/>
              <w:bottom w:val="single" w:sz="4" w:space="0" w:color="auto"/>
              <w:right w:val="single" w:sz="4" w:space="0" w:color="auto"/>
            </w:tcBorders>
            <w:hideMark/>
          </w:tcPr>
          <w:p w14:paraId="6A2CC520" w14:textId="77777777" w:rsidR="00270FBF" w:rsidRPr="00E92C22" w:rsidRDefault="00270FBF" w:rsidP="00270FBF">
            <w:pPr>
              <w:rPr>
                <w:rFonts w:ascii="Calibri" w:hAnsi="Calibri" w:cs="Calibri"/>
              </w:rPr>
            </w:pPr>
            <w:r w:rsidRPr="00E92C22">
              <w:rPr>
                <w:rFonts w:ascii="Calibri" w:hAnsi="Calibri" w:cs="Calibri"/>
              </w:rPr>
              <w:t xml:space="preserve">Batista AS, Zane LL, Smith LM (2017). Burn-induced </w:t>
            </w:r>
            <w:proofErr w:type="spellStart"/>
            <w:r w:rsidRPr="00E92C22">
              <w:rPr>
                <w:rFonts w:ascii="Calibri" w:hAnsi="Calibri" w:cs="Calibri"/>
              </w:rPr>
              <w:t>myxedema</w:t>
            </w:r>
            <w:proofErr w:type="spellEnd"/>
            <w:r w:rsidRPr="00E92C22">
              <w:rPr>
                <w:rFonts w:ascii="Calibri" w:hAnsi="Calibri" w:cs="Calibri"/>
              </w:rPr>
              <w:t xml:space="preserve"> crisis. Clin </w:t>
            </w:r>
            <w:proofErr w:type="spellStart"/>
            <w:r w:rsidRPr="00E92C22">
              <w:rPr>
                <w:rFonts w:ascii="Calibri" w:hAnsi="Calibri" w:cs="Calibri"/>
              </w:rPr>
              <w:t>Pract</w:t>
            </w:r>
            <w:proofErr w:type="spellEnd"/>
            <w:r w:rsidRPr="00E92C22">
              <w:rPr>
                <w:rFonts w:ascii="Calibri" w:hAnsi="Calibri" w:cs="Calibri"/>
              </w:rPr>
              <w:t xml:space="preserve"> Cases Emerg Med, 1(2): 98-100.</w:t>
            </w:r>
          </w:p>
        </w:tc>
      </w:tr>
      <w:tr w:rsidR="00270FBF" w14:paraId="4665481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9462F3B" w14:textId="77777777" w:rsidR="00270FBF" w:rsidRPr="00E92C22" w:rsidRDefault="00270FBF" w:rsidP="00270FBF">
            <w:pPr>
              <w:jc w:val="center"/>
              <w:rPr>
                <w:rFonts w:ascii="Calibri" w:hAnsi="Calibri" w:cs="Calibri"/>
              </w:rPr>
            </w:pPr>
            <w:r w:rsidRPr="00E92C22">
              <w:rPr>
                <w:rFonts w:ascii="Calibri" w:hAnsi="Calibri" w:cs="Calibri"/>
              </w:rPr>
              <w:t>101709</w:t>
            </w:r>
          </w:p>
        </w:tc>
        <w:tc>
          <w:tcPr>
            <w:tcW w:w="7371" w:type="dxa"/>
            <w:tcBorders>
              <w:top w:val="single" w:sz="4" w:space="0" w:color="auto"/>
              <w:left w:val="single" w:sz="4" w:space="0" w:color="auto"/>
              <w:bottom w:val="single" w:sz="4" w:space="0" w:color="auto"/>
              <w:right w:val="single" w:sz="4" w:space="0" w:color="auto"/>
            </w:tcBorders>
            <w:hideMark/>
          </w:tcPr>
          <w:p w14:paraId="148ED3F0" w14:textId="77777777" w:rsidR="00270FBF" w:rsidRPr="00E92C22" w:rsidRDefault="00270FBF" w:rsidP="00270FBF">
            <w:pPr>
              <w:rPr>
                <w:rFonts w:ascii="Calibri" w:hAnsi="Calibri" w:cs="Calibri"/>
              </w:rPr>
            </w:pPr>
            <w:r w:rsidRPr="00E92C22">
              <w:rPr>
                <w:rFonts w:ascii="Calibri" w:hAnsi="Calibri" w:cs="Calibri"/>
              </w:rPr>
              <w:t>Batool N, Elahi S, Saleem N, et al (2017). Thyroid dysfunction in non-interferon treated hepatitis C patients residing in hepatitis endemic area. Biomed Res Int, 2017: 2390812.</w:t>
            </w:r>
          </w:p>
        </w:tc>
      </w:tr>
      <w:tr w:rsidR="00270FBF" w14:paraId="7EEA89F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68AC8FC" w14:textId="77777777" w:rsidR="00270FBF" w:rsidRPr="00E92C22" w:rsidRDefault="00270FBF" w:rsidP="00270FBF">
            <w:pPr>
              <w:jc w:val="center"/>
              <w:rPr>
                <w:rFonts w:ascii="Calibri" w:hAnsi="Calibri" w:cs="Calibri"/>
              </w:rPr>
            </w:pPr>
            <w:r w:rsidRPr="00E92C22">
              <w:rPr>
                <w:rFonts w:ascii="Calibri" w:hAnsi="Calibri" w:cs="Calibri"/>
              </w:rPr>
              <w:t>61193</w:t>
            </w:r>
          </w:p>
        </w:tc>
        <w:tc>
          <w:tcPr>
            <w:tcW w:w="7371" w:type="dxa"/>
            <w:tcBorders>
              <w:top w:val="single" w:sz="4" w:space="0" w:color="auto"/>
              <w:left w:val="single" w:sz="4" w:space="0" w:color="auto"/>
              <w:bottom w:val="single" w:sz="4" w:space="0" w:color="auto"/>
              <w:right w:val="single" w:sz="4" w:space="0" w:color="auto"/>
            </w:tcBorders>
            <w:hideMark/>
          </w:tcPr>
          <w:p w14:paraId="054D3B59" w14:textId="77777777" w:rsidR="00270FBF" w:rsidRPr="00E92C22" w:rsidRDefault="00270FBF" w:rsidP="00270FBF">
            <w:pPr>
              <w:rPr>
                <w:rFonts w:ascii="Calibri" w:hAnsi="Calibri" w:cs="Calibri"/>
              </w:rPr>
            </w:pPr>
            <w:r w:rsidRPr="00E92C22">
              <w:rPr>
                <w:rFonts w:ascii="Calibri" w:hAnsi="Calibri" w:cs="Calibri"/>
              </w:rPr>
              <w:t>Batterman AR, Cook PM, Lodge KB, et al (1989). Methodology used for a laboratory determination of relative contributions of water, sediment and food chain routes of uptake for 2,3,7,8-TCDD bioaccumulation by lake trout in Lake Ontario. Chemosphere, 19(1-6): 451-8.</w:t>
            </w:r>
          </w:p>
        </w:tc>
      </w:tr>
      <w:tr w:rsidR="00270FBF" w14:paraId="3906EDF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6BBB142" w14:textId="77777777" w:rsidR="00270FBF" w:rsidRPr="00E92C22" w:rsidRDefault="00270FBF" w:rsidP="00270FBF">
            <w:pPr>
              <w:jc w:val="center"/>
              <w:rPr>
                <w:rFonts w:ascii="Calibri" w:hAnsi="Calibri" w:cs="Calibri"/>
              </w:rPr>
            </w:pPr>
            <w:r w:rsidRPr="00E92C22">
              <w:rPr>
                <w:rFonts w:ascii="Calibri" w:hAnsi="Calibri" w:cs="Calibri"/>
              </w:rPr>
              <w:t>61194</w:t>
            </w:r>
          </w:p>
        </w:tc>
        <w:tc>
          <w:tcPr>
            <w:tcW w:w="7371" w:type="dxa"/>
            <w:tcBorders>
              <w:top w:val="single" w:sz="4" w:space="0" w:color="auto"/>
              <w:left w:val="single" w:sz="4" w:space="0" w:color="auto"/>
              <w:bottom w:val="single" w:sz="4" w:space="0" w:color="auto"/>
              <w:right w:val="single" w:sz="4" w:space="0" w:color="auto"/>
            </w:tcBorders>
            <w:hideMark/>
          </w:tcPr>
          <w:p w14:paraId="698BF370" w14:textId="77777777" w:rsidR="00270FBF" w:rsidRPr="00E92C22" w:rsidRDefault="00270FBF" w:rsidP="00270FBF">
            <w:pPr>
              <w:rPr>
                <w:rFonts w:ascii="Calibri" w:hAnsi="Calibri" w:cs="Calibri"/>
              </w:rPr>
            </w:pPr>
            <w:r w:rsidRPr="00E92C22">
              <w:rPr>
                <w:rFonts w:ascii="Calibri" w:hAnsi="Calibri" w:cs="Calibri"/>
              </w:rPr>
              <w:t xml:space="preserve">Baughman R, </w:t>
            </w:r>
            <w:proofErr w:type="spellStart"/>
            <w:r w:rsidRPr="00E92C22">
              <w:rPr>
                <w:rFonts w:ascii="Calibri" w:hAnsi="Calibri" w:cs="Calibri"/>
              </w:rPr>
              <w:t>Meleson</w:t>
            </w:r>
            <w:proofErr w:type="spellEnd"/>
            <w:r w:rsidRPr="00E92C22">
              <w:rPr>
                <w:rFonts w:ascii="Calibri" w:hAnsi="Calibri" w:cs="Calibri"/>
              </w:rPr>
              <w:t xml:space="preserve"> M (1973). An analytical method for detecting TCDD (dioxin): levels of TCDD in samples from Vietnam. Environ Health </w:t>
            </w:r>
            <w:proofErr w:type="spellStart"/>
            <w:r w:rsidRPr="00E92C22">
              <w:rPr>
                <w:rFonts w:ascii="Calibri" w:hAnsi="Calibri" w:cs="Calibri"/>
              </w:rPr>
              <w:t>Perspect</w:t>
            </w:r>
            <w:proofErr w:type="spellEnd"/>
            <w:r w:rsidRPr="00E92C22">
              <w:rPr>
                <w:rFonts w:ascii="Calibri" w:hAnsi="Calibri" w:cs="Calibri"/>
              </w:rPr>
              <w:t>, 5: 27-35.</w:t>
            </w:r>
          </w:p>
        </w:tc>
      </w:tr>
      <w:tr w:rsidR="00270FBF" w14:paraId="6A9CBF3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9E34A15" w14:textId="77777777" w:rsidR="00270FBF" w:rsidRPr="00E92C22" w:rsidRDefault="00270FBF" w:rsidP="00270FBF">
            <w:pPr>
              <w:jc w:val="center"/>
              <w:rPr>
                <w:rFonts w:ascii="Calibri" w:hAnsi="Calibri" w:cs="Calibri"/>
              </w:rPr>
            </w:pPr>
            <w:r w:rsidRPr="00E92C22">
              <w:rPr>
                <w:rFonts w:ascii="Calibri" w:hAnsi="Calibri" w:cs="Calibri"/>
              </w:rPr>
              <w:t>66172</w:t>
            </w:r>
          </w:p>
        </w:tc>
        <w:tc>
          <w:tcPr>
            <w:tcW w:w="7371" w:type="dxa"/>
            <w:tcBorders>
              <w:top w:val="single" w:sz="4" w:space="0" w:color="auto"/>
              <w:left w:val="single" w:sz="4" w:space="0" w:color="auto"/>
              <w:bottom w:val="single" w:sz="4" w:space="0" w:color="auto"/>
              <w:right w:val="single" w:sz="4" w:space="0" w:color="auto"/>
            </w:tcBorders>
            <w:hideMark/>
          </w:tcPr>
          <w:p w14:paraId="7F9DFA6A" w14:textId="77777777" w:rsidR="00270FBF" w:rsidRPr="00E92C22" w:rsidRDefault="00270FBF" w:rsidP="00270FBF">
            <w:pPr>
              <w:rPr>
                <w:rFonts w:ascii="Calibri" w:hAnsi="Calibri" w:cs="Calibri"/>
              </w:rPr>
            </w:pPr>
            <w:r w:rsidRPr="00E92C22">
              <w:rPr>
                <w:rFonts w:ascii="Calibri" w:hAnsi="Calibri" w:cs="Calibri"/>
              </w:rPr>
              <w:t xml:space="preserve">Belin RM, Astor BC, Powe NR, et al (2004). Smoke exposure is associated with a lower prevalence of serum thyroid autoantibodies and thyrotropin concentration elevation and a higher prevalence of mild thyrotropin concentration suppression in the Third National Health and Nutrition Examination Survey (NHANES III). J Clin Endocrinol </w:t>
            </w:r>
            <w:proofErr w:type="spellStart"/>
            <w:r w:rsidRPr="00E92C22">
              <w:rPr>
                <w:rFonts w:ascii="Calibri" w:hAnsi="Calibri" w:cs="Calibri"/>
              </w:rPr>
              <w:t>Metab</w:t>
            </w:r>
            <w:proofErr w:type="spellEnd"/>
            <w:r w:rsidRPr="00E92C22">
              <w:rPr>
                <w:rFonts w:ascii="Calibri" w:hAnsi="Calibri" w:cs="Calibri"/>
              </w:rPr>
              <w:t>, 89(12): 6077-86.</w:t>
            </w:r>
          </w:p>
        </w:tc>
      </w:tr>
      <w:tr w:rsidR="00270FBF" w14:paraId="0E6F397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A5FE9C3" w14:textId="77777777" w:rsidR="00270FBF" w:rsidRPr="00E92C22" w:rsidRDefault="00270FBF" w:rsidP="00270FBF">
            <w:pPr>
              <w:jc w:val="center"/>
              <w:rPr>
                <w:rFonts w:ascii="Calibri" w:hAnsi="Calibri" w:cs="Calibri"/>
              </w:rPr>
            </w:pPr>
            <w:r w:rsidRPr="00E92C22">
              <w:rPr>
                <w:rFonts w:ascii="Calibri" w:hAnsi="Calibri" w:cs="Calibri"/>
              </w:rPr>
              <w:t>66169</w:t>
            </w:r>
          </w:p>
        </w:tc>
        <w:tc>
          <w:tcPr>
            <w:tcW w:w="7371" w:type="dxa"/>
            <w:tcBorders>
              <w:top w:val="single" w:sz="4" w:space="0" w:color="auto"/>
              <w:left w:val="single" w:sz="4" w:space="0" w:color="auto"/>
              <w:bottom w:val="single" w:sz="4" w:space="0" w:color="auto"/>
              <w:right w:val="single" w:sz="4" w:space="0" w:color="auto"/>
            </w:tcBorders>
            <w:hideMark/>
          </w:tcPr>
          <w:p w14:paraId="6C979655" w14:textId="77777777" w:rsidR="00270FBF" w:rsidRPr="00E92C22" w:rsidRDefault="00270FBF" w:rsidP="00270FBF">
            <w:pPr>
              <w:rPr>
                <w:rFonts w:ascii="Calibri" w:hAnsi="Calibri" w:cs="Calibri"/>
              </w:rPr>
            </w:pPr>
            <w:r w:rsidRPr="00E92C22">
              <w:rPr>
                <w:rFonts w:ascii="Calibri" w:hAnsi="Calibri" w:cs="Calibri"/>
              </w:rPr>
              <w:t>Beltran S, Lescure FX, El Esper E, et al (2006). Subclinical hypothyroidism in HIV-infected patients is not an autoimmune disease. Horm Res, 66(1): 21-6.</w:t>
            </w:r>
          </w:p>
        </w:tc>
      </w:tr>
      <w:tr w:rsidR="00270FBF" w14:paraId="5888507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BFB2938" w14:textId="77777777" w:rsidR="00270FBF" w:rsidRPr="00E92C22" w:rsidRDefault="00270FBF" w:rsidP="00270FBF">
            <w:pPr>
              <w:jc w:val="center"/>
              <w:rPr>
                <w:rFonts w:ascii="Calibri" w:hAnsi="Calibri" w:cs="Calibri"/>
              </w:rPr>
            </w:pPr>
            <w:r w:rsidRPr="00E92C22">
              <w:rPr>
                <w:rFonts w:ascii="Calibri" w:hAnsi="Calibri" w:cs="Calibri"/>
              </w:rPr>
              <w:t>65547</w:t>
            </w:r>
          </w:p>
        </w:tc>
        <w:tc>
          <w:tcPr>
            <w:tcW w:w="7371" w:type="dxa"/>
            <w:tcBorders>
              <w:top w:val="single" w:sz="4" w:space="0" w:color="auto"/>
              <w:left w:val="single" w:sz="4" w:space="0" w:color="auto"/>
              <w:bottom w:val="single" w:sz="4" w:space="0" w:color="auto"/>
              <w:right w:val="single" w:sz="4" w:space="0" w:color="auto"/>
            </w:tcBorders>
            <w:hideMark/>
          </w:tcPr>
          <w:p w14:paraId="4D6937A3" w14:textId="77777777" w:rsidR="00270FBF" w:rsidRPr="00E92C22" w:rsidRDefault="00270FBF" w:rsidP="00270FBF">
            <w:pPr>
              <w:rPr>
                <w:rFonts w:ascii="Calibri" w:hAnsi="Calibri" w:cs="Calibri"/>
              </w:rPr>
            </w:pPr>
            <w:r w:rsidRPr="00E92C22">
              <w:rPr>
                <w:rFonts w:ascii="Calibri" w:hAnsi="Calibri" w:cs="Calibri"/>
              </w:rPr>
              <w:t>Berendt-</w:t>
            </w:r>
            <w:proofErr w:type="spellStart"/>
            <w:r w:rsidRPr="00E92C22">
              <w:rPr>
                <w:rFonts w:ascii="Calibri" w:hAnsi="Calibri" w:cs="Calibri"/>
              </w:rPr>
              <w:t>Obolonczyk</w:t>
            </w:r>
            <w:proofErr w:type="spellEnd"/>
            <w:r w:rsidRPr="00E92C22">
              <w:rPr>
                <w:rFonts w:ascii="Calibri" w:hAnsi="Calibri" w:cs="Calibri"/>
              </w:rPr>
              <w:t xml:space="preserve"> M, </w:t>
            </w:r>
            <w:proofErr w:type="spellStart"/>
            <w:r w:rsidRPr="00E92C22">
              <w:rPr>
                <w:rFonts w:ascii="Calibri" w:hAnsi="Calibri" w:cs="Calibri"/>
              </w:rPr>
              <w:t>Siekieraska</w:t>
            </w:r>
            <w:proofErr w:type="spellEnd"/>
            <w:r w:rsidRPr="00E92C22">
              <w:rPr>
                <w:rFonts w:ascii="Calibri" w:hAnsi="Calibri" w:cs="Calibri"/>
              </w:rPr>
              <w:t xml:space="preserve">-Hellmann M, </w:t>
            </w:r>
            <w:proofErr w:type="spellStart"/>
            <w:r w:rsidRPr="00E92C22">
              <w:rPr>
                <w:rFonts w:ascii="Calibri" w:hAnsi="Calibri" w:cs="Calibri"/>
              </w:rPr>
              <w:t>Wojtylak</w:t>
            </w:r>
            <w:proofErr w:type="spellEnd"/>
            <w:r w:rsidRPr="00E92C22">
              <w:rPr>
                <w:rFonts w:ascii="Calibri" w:hAnsi="Calibri" w:cs="Calibri"/>
              </w:rPr>
              <w:t xml:space="preserve"> S, et al (2012). From struma </w:t>
            </w:r>
            <w:proofErr w:type="spellStart"/>
            <w:r w:rsidRPr="00E92C22">
              <w:rPr>
                <w:rFonts w:ascii="Calibri" w:hAnsi="Calibri" w:cs="Calibri"/>
              </w:rPr>
              <w:t>ovarii</w:t>
            </w:r>
            <w:proofErr w:type="spellEnd"/>
            <w:r w:rsidRPr="00E92C22">
              <w:rPr>
                <w:rFonts w:ascii="Calibri" w:hAnsi="Calibri" w:cs="Calibri"/>
              </w:rPr>
              <w:t xml:space="preserve"> to Hashimoto disease--an unusual diagnosis of primary hypothyroidism: case report. </w:t>
            </w:r>
            <w:proofErr w:type="spellStart"/>
            <w:r w:rsidRPr="00E92C22">
              <w:rPr>
                <w:rFonts w:ascii="Calibri" w:hAnsi="Calibri" w:cs="Calibri"/>
              </w:rPr>
              <w:t>Gynecol</w:t>
            </w:r>
            <w:proofErr w:type="spellEnd"/>
            <w:r w:rsidRPr="00E92C22">
              <w:rPr>
                <w:rFonts w:ascii="Calibri" w:hAnsi="Calibri" w:cs="Calibri"/>
              </w:rPr>
              <w:t xml:space="preserve"> Endocrinol, 28(1): 43-5.</w:t>
            </w:r>
          </w:p>
        </w:tc>
      </w:tr>
      <w:tr w:rsidR="00270FBF" w14:paraId="17379CC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082CBEE" w14:textId="77777777" w:rsidR="00270FBF" w:rsidRPr="00E92C22" w:rsidRDefault="00270FBF" w:rsidP="00270FBF">
            <w:pPr>
              <w:jc w:val="center"/>
              <w:rPr>
                <w:rFonts w:ascii="Calibri" w:hAnsi="Calibri" w:cs="Calibri"/>
              </w:rPr>
            </w:pPr>
            <w:r w:rsidRPr="00E92C22">
              <w:rPr>
                <w:rFonts w:ascii="Calibri" w:hAnsi="Calibri" w:cs="Calibri"/>
              </w:rPr>
              <w:t>66168</w:t>
            </w:r>
          </w:p>
        </w:tc>
        <w:tc>
          <w:tcPr>
            <w:tcW w:w="7371" w:type="dxa"/>
            <w:tcBorders>
              <w:top w:val="single" w:sz="4" w:space="0" w:color="auto"/>
              <w:left w:val="single" w:sz="4" w:space="0" w:color="auto"/>
              <w:bottom w:val="single" w:sz="4" w:space="0" w:color="auto"/>
              <w:right w:val="single" w:sz="4" w:space="0" w:color="auto"/>
            </w:tcBorders>
            <w:hideMark/>
          </w:tcPr>
          <w:p w14:paraId="34D62AE0" w14:textId="77777777" w:rsidR="00270FBF" w:rsidRPr="00E92C22" w:rsidRDefault="00270FBF" w:rsidP="00270FBF">
            <w:pPr>
              <w:rPr>
                <w:rFonts w:ascii="Calibri" w:hAnsi="Calibri" w:cs="Calibri"/>
              </w:rPr>
            </w:pPr>
            <w:r w:rsidRPr="006E1170">
              <w:rPr>
                <w:rFonts w:ascii="Calibri" w:hAnsi="Calibri" w:cs="Calibri"/>
                <w:lang w:val="de-DE"/>
              </w:rPr>
              <w:t xml:space="preserve">Bernstein CN, Wajda A, Blanchard JF (2005). </w:t>
            </w:r>
            <w:r w:rsidRPr="00E92C22">
              <w:rPr>
                <w:rFonts w:ascii="Calibri" w:hAnsi="Calibri" w:cs="Calibri"/>
              </w:rPr>
              <w:t>The clustering of other chronic inflammatory diseases in inflammatory bowel disease: a population-based study. Gastroenterology, 129(3): 827-36.</w:t>
            </w:r>
          </w:p>
        </w:tc>
      </w:tr>
      <w:tr w:rsidR="00270FBF" w14:paraId="6EDB777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B87707A" w14:textId="77777777" w:rsidR="00270FBF" w:rsidRPr="00E92C22" w:rsidRDefault="00270FBF" w:rsidP="00270FBF">
            <w:pPr>
              <w:jc w:val="center"/>
              <w:rPr>
                <w:rFonts w:ascii="Calibri" w:hAnsi="Calibri" w:cs="Calibri"/>
              </w:rPr>
            </w:pPr>
            <w:r w:rsidRPr="00E92C22">
              <w:rPr>
                <w:rFonts w:ascii="Calibri" w:hAnsi="Calibri" w:cs="Calibri"/>
              </w:rPr>
              <w:t>99096</w:t>
            </w:r>
          </w:p>
        </w:tc>
        <w:tc>
          <w:tcPr>
            <w:tcW w:w="7371" w:type="dxa"/>
            <w:tcBorders>
              <w:top w:val="single" w:sz="4" w:space="0" w:color="auto"/>
              <w:left w:val="single" w:sz="4" w:space="0" w:color="auto"/>
              <w:bottom w:val="single" w:sz="4" w:space="0" w:color="auto"/>
              <w:right w:val="single" w:sz="4" w:space="0" w:color="auto"/>
            </w:tcBorders>
            <w:hideMark/>
          </w:tcPr>
          <w:p w14:paraId="25F2CE27" w14:textId="77777777" w:rsidR="00270FBF" w:rsidRPr="00E92C22" w:rsidRDefault="00270FBF" w:rsidP="00270FBF">
            <w:pPr>
              <w:rPr>
                <w:rFonts w:ascii="Calibri" w:hAnsi="Calibri" w:cs="Calibri"/>
              </w:rPr>
            </w:pPr>
            <w:r w:rsidRPr="00E92C22">
              <w:rPr>
                <w:rFonts w:ascii="Calibri" w:hAnsi="Calibri" w:cs="Calibri"/>
              </w:rPr>
              <w:t xml:space="preserve">Bhattacharya S, Goyal A, Kaur P, et al (2020). Anticancer drug-induced thyroid dysfunction. </w:t>
            </w:r>
            <w:proofErr w:type="spellStart"/>
            <w:r w:rsidRPr="00E92C22">
              <w:rPr>
                <w:rFonts w:ascii="Calibri" w:hAnsi="Calibri" w:cs="Calibri"/>
              </w:rPr>
              <w:t>Eur</w:t>
            </w:r>
            <w:proofErr w:type="spellEnd"/>
            <w:r w:rsidRPr="00E92C22">
              <w:rPr>
                <w:rFonts w:ascii="Calibri" w:hAnsi="Calibri" w:cs="Calibri"/>
              </w:rPr>
              <w:t xml:space="preserve"> Endocrinol, 16(1): 32-9.</w:t>
            </w:r>
          </w:p>
        </w:tc>
      </w:tr>
      <w:tr w:rsidR="00270FBF" w14:paraId="5B8016C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48242FA" w14:textId="77777777" w:rsidR="00270FBF" w:rsidRPr="00E92C22" w:rsidRDefault="00270FBF" w:rsidP="00270FBF">
            <w:pPr>
              <w:jc w:val="center"/>
              <w:rPr>
                <w:rFonts w:ascii="Calibri" w:hAnsi="Calibri" w:cs="Calibri"/>
              </w:rPr>
            </w:pPr>
            <w:r w:rsidRPr="00E92C22">
              <w:rPr>
                <w:rFonts w:ascii="Calibri" w:hAnsi="Calibri" w:cs="Calibri"/>
              </w:rPr>
              <w:t>64574</w:t>
            </w:r>
          </w:p>
        </w:tc>
        <w:tc>
          <w:tcPr>
            <w:tcW w:w="7371" w:type="dxa"/>
            <w:tcBorders>
              <w:top w:val="single" w:sz="4" w:space="0" w:color="auto"/>
              <w:left w:val="single" w:sz="4" w:space="0" w:color="auto"/>
              <w:bottom w:val="single" w:sz="4" w:space="0" w:color="auto"/>
              <w:right w:val="single" w:sz="4" w:space="0" w:color="auto"/>
            </w:tcBorders>
            <w:hideMark/>
          </w:tcPr>
          <w:p w14:paraId="445066AF" w14:textId="77777777" w:rsidR="00270FBF" w:rsidRPr="00E92C22" w:rsidRDefault="00270FBF" w:rsidP="00270FBF">
            <w:pPr>
              <w:rPr>
                <w:rFonts w:ascii="Calibri" w:hAnsi="Calibri" w:cs="Calibri"/>
              </w:rPr>
            </w:pPr>
            <w:r w:rsidRPr="00E92C22">
              <w:rPr>
                <w:rFonts w:ascii="Calibri" w:hAnsi="Calibri" w:cs="Calibri"/>
              </w:rPr>
              <w:t xml:space="preserve">Biondi B (2010). Thyroid and obesity: an intriguing relationship. J Clin Endocrinol </w:t>
            </w:r>
            <w:proofErr w:type="spellStart"/>
            <w:r w:rsidRPr="00E92C22">
              <w:rPr>
                <w:rFonts w:ascii="Calibri" w:hAnsi="Calibri" w:cs="Calibri"/>
              </w:rPr>
              <w:t>Metab</w:t>
            </w:r>
            <w:proofErr w:type="spellEnd"/>
            <w:r w:rsidRPr="00E92C22">
              <w:rPr>
                <w:rFonts w:ascii="Calibri" w:hAnsi="Calibri" w:cs="Calibri"/>
              </w:rPr>
              <w:t>, 95(8): 3614-7.</w:t>
            </w:r>
          </w:p>
        </w:tc>
      </w:tr>
      <w:tr w:rsidR="00270FBF" w14:paraId="67D235E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BF6838B" w14:textId="77777777" w:rsidR="00270FBF" w:rsidRPr="00E92C22" w:rsidRDefault="00270FBF" w:rsidP="00270FBF">
            <w:pPr>
              <w:jc w:val="center"/>
              <w:rPr>
                <w:rFonts w:ascii="Calibri" w:hAnsi="Calibri" w:cs="Calibri"/>
              </w:rPr>
            </w:pPr>
            <w:r w:rsidRPr="00E92C22">
              <w:rPr>
                <w:rFonts w:ascii="Calibri" w:hAnsi="Calibri" w:cs="Calibri"/>
              </w:rPr>
              <w:t>67008</w:t>
            </w:r>
          </w:p>
        </w:tc>
        <w:tc>
          <w:tcPr>
            <w:tcW w:w="7371" w:type="dxa"/>
            <w:tcBorders>
              <w:top w:val="single" w:sz="4" w:space="0" w:color="auto"/>
              <w:left w:val="single" w:sz="4" w:space="0" w:color="auto"/>
              <w:bottom w:val="single" w:sz="4" w:space="0" w:color="auto"/>
              <w:right w:val="single" w:sz="4" w:space="0" w:color="auto"/>
            </w:tcBorders>
            <w:hideMark/>
          </w:tcPr>
          <w:p w14:paraId="1B214EA1" w14:textId="77777777" w:rsidR="00270FBF" w:rsidRPr="00E92C22" w:rsidRDefault="00270FBF" w:rsidP="00270FBF">
            <w:pPr>
              <w:rPr>
                <w:rFonts w:ascii="Calibri" w:hAnsi="Calibri" w:cs="Calibri"/>
              </w:rPr>
            </w:pPr>
            <w:r w:rsidRPr="00E92C22">
              <w:rPr>
                <w:rFonts w:ascii="Calibri" w:hAnsi="Calibri" w:cs="Calibri"/>
              </w:rPr>
              <w:t xml:space="preserve">Biondi B, Cooper DS (2008). The clinical significance of subclinical thyroid dysfunction. </w:t>
            </w:r>
            <w:proofErr w:type="spellStart"/>
            <w:r w:rsidRPr="00E92C22">
              <w:rPr>
                <w:rFonts w:ascii="Calibri" w:hAnsi="Calibri" w:cs="Calibri"/>
              </w:rPr>
              <w:t>Endocr</w:t>
            </w:r>
            <w:proofErr w:type="spellEnd"/>
            <w:r w:rsidRPr="00E92C22">
              <w:rPr>
                <w:rFonts w:ascii="Calibri" w:hAnsi="Calibri" w:cs="Calibri"/>
              </w:rPr>
              <w:t xml:space="preserve"> Rev, 29(1): 76-131.</w:t>
            </w:r>
          </w:p>
        </w:tc>
      </w:tr>
      <w:tr w:rsidR="00270FBF" w14:paraId="450BD5A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669C5D8" w14:textId="77777777" w:rsidR="00270FBF" w:rsidRPr="00E92C22" w:rsidRDefault="00270FBF" w:rsidP="00270FBF">
            <w:pPr>
              <w:jc w:val="center"/>
              <w:rPr>
                <w:rFonts w:ascii="Calibri" w:hAnsi="Calibri" w:cs="Calibri"/>
              </w:rPr>
            </w:pPr>
            <w:r w:rsidRPr="00E92C22">
              <w:rPr>
                <w:rFonts w:ascii="Calibri" w:hAnsi="Calibri" w:cs="Calibri"/>
              </w:rPr>
              <w:t>65345</w:t>
            </w:r>
          </w:p>
        </w:tc>
        <w:tc>
          <w:tcPr>
            <w:tcW w:w="7371" w:type="dxa"/>
            <w:tcBorders>
              <w:top w:val="single" w:sz="4" w:space="0" w:color="auto"/>
              <w:left w:val="single" w:sz="4" w:space="0" w:color="auto"/>
              <w:bottom w:val="single" w:sz="4" w:space="0" w:color="auto"/>
              <w:right w:val="single" w:sz="4" w:space="0" w:color="auto"/>
            </w:tcBorders>
            <w:hideMark/>
          </w:tcPr>
          <w:p w14:paraId="22D79F6D" w14:textId="77777777" w:rsidR="00270FBF" w:rsidRPr="00E92C22" w:rsidRDefault="00270FBF" w:rsidP="00270FBF">
            <w:pPr>
              <w:rPr>
                <w:rFonts w:ascii="Calibri" w:hAnsi="Calibri" w:cs="Calibri"/>
              </w:rPr>
            </w:pPr>
            <w:r w:rsidRPr="006E1170">
              <w:rPr>
                <w:rFonts w:ascii="Calibri" w:hAnsi="Calibri" w:cs="Calibri"/>
                <w:lang w:val="de-DE"/>
              </w:rPr>
              <w:t xml:space="preserve">Boas M, Feldt-Rasmussen U, Main KM (2012). </w:t>
            </w:r>
            <w:r w:rsidRPr="00E92C22">
              <w:rPr>
                <w:rFonts w:ascii="Calibri" w:hAnsi="Calibri" w:cs="Calibri"/>
              </w:rPr>
              <w:t>Thyroid effects of endocrine disrupting chemicals. Mol Cell Endocrinol, 355(2): 240-8.</w:t>
            </w:r>
          </w:p>
        </w:tc>
      </w:tr>
      <w:tr w:rsidR="00270FBF" w14:paraId="24A82A0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210B605" w14:textId="77777777" w:rsidR="00270FBF" w:rsidRPr="00E92C22" w:rsidRDefault="00270FBF" w:rsidP="00270FBF">
            <w:pPr>
              <w:jc w:val="center"/>
              <w:rPr>
                <w:rFonts w:ascii="Calibri" w:hAnsi="Calibri" w:cs="Calibri"/>
              </w:rPr>
            </w:pPr>
            <w:r w:rsidRPr="00E92C22">
              <w:rPr>
                <w:rFonts w:ascii="Calibri" w:hAnsi="Calibri" w:cs="Calibri"/>
              </w:rPr>
              <w:t>67019</w:t>
            </w:r>
          </w:p>
        </w:tc>
        <w:tc>
          <w:tcPr>
            <w:tcW w:w="7371" w:type="dxa"/>
            <w:tcBorders>
              <w:top w:val="single" w:sz="4" w:space="0" w:color="auto"/>
              <w:left w:val="single" w:sz="4" w:space="0" w:color="auto"/>
              <w:bottom w:val="single" w:sz="4" w:space="0" w:color="auto"/>
              <w:right w:val="single" w:sz="4" w:space="0" w:color="auto"/>
            </w:tcBorders>
            <w:hideMark/>
          </w:tcPr>
          <w:p w14:paraId="0623C0CD" w14:textId="77777777" w:rsidR="00270FBF" w:rsidRPr="00E92C22" w:rsidRDefault="00270FBF" w:rsidP="00270FBF">
            <w:pPr>
              <w:rPr>
                <w:rFonts w:ascii="Calibri" w:hAnsi="Calibri" w:cs="Calibri"/>
              </w:rPr>
            </w:pPr>
            <w:r w:rsidRPr="006E1170">
              <w:rPr>
                <w:rFonts w:ascii="Calibri" w:hAnsi="Calibri" w:cs="Calibri"/>
                <w:lang w:val="de-DE"/>
              </w:rPr>
              <w:t xml:space="preserve">Boas M, Feldt-Rasmussen U, Skakkebaek NE, et al (2006). </w:t>
            </w:r>
            <w:r w:rsidRPr="00E92C22">
              <w:rPr>
                <w:rFonts w:ascii="Calibri" w:hAnsi="Calibri" w:cs="Calibri"/>
              </w:rPr>
              <w:t xml:space="preserve">Environmental chemicals and thyroid function. </w:t>
            </w:r>
            <w:proofErr w:type="spellStart"/>
            <w:r w:rsidRPr="00E92C22">
              <w:rPr>
                <w:rFonts w:ascii="Calibri" w:hAnsi="Calibri" w:cs="Calibri"/>
              </w:rPr>
              <w:t>Eur</w:t>
            </w:r>
            <w:proofErr w:type="spellEnd"/>
            <w:r w:rsidRPr="00E92C22">
              <w:rPr>
                <w:rFonts w:ascii="Calibri" w:hAnsi="Calibri" w:cs="Calibri"/>
              </w:rPr>
              <w:t xml:space="preserve"> J Endocrinol, 154(5): 599-611.</w:t>
            </w:r>
          </w:p>
        </w:tc>
      </w:tr>
      <w:tr w:rsidR="00270FBF" w14:paraId="3754CA1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2601E4F" w14:textId="77777777" w:rsidR="00270FBF" w:rsidRPr="00E92C22" w:rsidRDefault="00270FBF" w:rsidP="00270FBF">
            <w:pPr>
              <w:jc w:val="center"/>
              <w:rPr>
                <w:rFonts w:ascii="Calibri" w:hAnsi="Calibri" w:cs="Calibri"/>
              </w:rPr>
            </w:pPr>
            <w:r w:rsidRPr="00E92C22">
              <w:rPr>
                <w:rFonts w:ascii="Calibri" w:hAnsi="Calibri" w:cs="Calibri"/>
              </w:rPr>
              <w:t>67069</w:t>
            </w:r>
          </w:p>
        </w:tc>
        <w:tc>
          <w:tcPr>
            <w:tcW w:w="7371" w:type="dxa"/>
            <w:tcBorders>
              <w:top w:val="single" w:sz="4" w:space="0" w:color="auto"/>
              <w:left w:val="single" w:sz="4" w:space="0" w:color="auto"/>
              <w:bottom w:val="single" w:sz="4" w:space="0" w:color="auto"/>
              <w:right w:val="single" w:sz="4" w:space="0" w:color="auto"/>
            </w:tcBorders>
            <w:hideMark/>
          </w:tcPr>
          <w:p w14:paraId="1C77B483" w14:textId="77777777" w:rsidR="00270FBF" w:rsidRPr="00E92C22" w:rsidRDefault="00270FBF" w:rsidP="00270FBF">
            <w:pPr>
              <w:rPr>
                <w:rFonts w:ascii="Calibri" w:hAnsi="Calibri" w:cs="Calibri"/>
              </w:rPr>
            </w:pPr>
            <w:r w:rsidRPr="00E92C22">
              <w:rPr>
                <w:rFonts w:ascii="Calibri" w:hAnsi="Calibri" w:cs="Calibri"/>
              </w:rPr>
              <w:t xml:space="preserve">Bocchetta A, </w:t>
            </w:r>
            <w:proofErr w:type="spellStart"/>
            <w:r w:rsidRPr="00E92C22">
              <w:rPr>
                <w:rFonts w:ascii="Calibri" w:hAnsi="Calibri" w:cs="Calibri"/>
              </w:rPr>
              <w:t>Loviselli</w:t>
            </w:r>
            <w:proofErr w:type="spellEnd"/>
            <w:r w:rsidRPr="00E92C22">
              <w:rPr>
                <w:rFonts w:ascii="Calibri" w:hAnsi="Calibri" w:cs="Calibri"/>
              </w:rPr>
              <w:t xml:space="preserve"> A (2006). Lithium treatment and thyroid abnormalities. Clin </w:t>
            </w:r>
            <w:proofErr w:type="spellStart"/>
            <w:r w:rsidRPr="00E92C22">
              <w:rPr>
                <w:rFonts w:ascii="Calibri" w:hAnsi="Calibri" w:cs="Calibri"/>
              </w:rPr>
              <w:t>Pract</w:t>
            </w:r>
            <w:proofErr w:type="spellEnd"/>
            <w:r w:rsidRPr="00E92C22">
              <w:rPr>
                <w:rFonts w:ascii="Calibri" w:hAnsi="Calibri" w:cs="Calibri"/>
              </w:rPr>
              <w:t xml:space="preserve"> Epidemiol Ment Health, 2: 23.</w:t>
            </w:r>
          </w:p>
        </w:tc>
      </w:tr>
      <w:tr w:rsidR="00270FBF" w14:paraId="5D183EF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AD9157E" w14:textId="77777777" w:rsidR="00270FBF" w:rsidRPr="00E92C22" w:rsidRDefault="00270FBF" w:rsidP="00270FBF">
            <w:pPr>
              <w:jc w:val="center"/>
              <w:rPr>
                <w:rFonts w:ascii="Calibri" w:hAnsi="Calibri" w:cs="Calibri"/>
              </w:rPr>
            </w:pPr>
            <w:r w:rsidRPr="00E92C22">
              <w:rPr>
                <w:rFonts w:ascii="Calibri" w:hAnsi="Calibri" w:cs="Calibri"/>
              </w:rPr>
              <w:t>49509</w:t>
            </w:r>
          </w:p>
        </w:tc>
        <w:tc>
          <w:tcPr>
            <w:tcW w:w="7371" w:type="dxa"/>
            <w:tcBorders>
              <w:top w:val="single" w:sz="4" w:space="0" w:color="auto"/>
              <w:left w:val="single" w:sz="4" w:space="0" w:color="auto"/>
              <w:bottom w:val="single" w:sz="4" w:space="0" w:color="auto"/>
              <w:right w:val="single" w:sz="4" w:space="0" w:color="auto"/>
            </w:tcBorders>
            <w:hideMark/>
          </w:tcPr>
          <w:p w14:paraId="051A4D68" w14:textId="77777777" w:rsidR="00270FBF" w:rsidRPr="00E92C22" w:rsidRDefault="00270FBF" w:rsidP="00270FBF">
            <w:pPr>
              <w:rPr>
                <w:rFonts w:ascii="Calibri" w:hAnsi="Calibri" w:cs="Calibri"/>
              </w:rPr>
            </w:pPr>
            <w:r w:rsidRPr="00E92C22">
              <w:rPr>
                <w:rFonts w:ascii="Calibri" w:hAnsi="Calibri" w:cs="Calibri"/>
              </w:rPr>
              <w:t xml:space="preserve">Boscarino JA (2004). Posttraumatic stress disorder and physical illness: results from clinical and epidemiologic studies. Ann N Y </w:t>
            </w:r>
            <w:proofErr w:type="spellStart"/>
            <w:r w:rsidRPr="00E92C22">
              <w:rPr>
                <w:rFonts w:ascii="Calibri" w:hAnsi="Calibri" w:cs="Calibri"/>
              </w:rPr>
              <w:t>Acad</w:t>
            </w:r>
            <w:proofErr w:type="spellEnd"/>
            <w:r w:rsidRPr="00E92C22">
              <w:rPr>
                <w:rFonts w:ascii="Calibri" w:hAnsi="Calibri" w:cs="Calibri"/>
              </w:rPr>
              <w:t xml:space="preserve"> Sci, 1032: 141-53.</w:t>
            </w:r>
          </w:p>
        </w:tc>
      </w:tr>
      <w:tr w:rsidR="00270FBF" w14:paraId="3EB24DF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6343558" w14:textId="77777777" w:rsidR="00270FBF" w:rsidRPr="00E92C22" w:rsidRDefault="00270FBF" w:rsidP="00270FBF">
            <w:pPr>
              <w:jc w:val="center"/>
              <w:rPr>
                <w:rFonts w:ascii="Calibri" w:hAnsi="Calibri" w:cs="Calibri"/>
              </w:rPr>
            </w:pPr>
            <w:r w:rsidRPr="00E92C22">
              <w:rPr>
                <w:rFonts w:ascii="Calibri" w:hAnsi="Calibri" w:cs="Calibri"/>
              </w:rPr>
              <w:t>103522</w:t>
            </w:r>
          </w:p>
        </w:tc>
        <w:tc>
          <w:tcPr>
            <w:tcW w:w="7371" w:type="dxa"/>
            <w:tcBorders>
              <w:top w:val="single" w:sz="4" w:space="0" w:color="auto"/>
              <w:left w:val="single" w:sz="4" w:space="0" w:color="auto"/>
              <w:bottom w:val="single" w:sz="4" w:space="0" w:color="auto"/>
              <w:right w:val="single" w:sz="4" w:space="0" w:color="auto"/>
            </w:tcBorders>
            <w:hideMark/>
          </w:tcPr>
          <w:p w14:paraId="1BEF1982" w14:textId="77777777" w:rsidR="00270FBF" w:rsidRPr="00E92C22" w:rsidRDefault="00270FBF" w:rsidP="00270FBF">
            <w:pPr>
              <w:rPr>
                <w:rFonts w:ascii="Calibri" w:hAnsi="Calibri" w:cs="Calibri"/>
              </w:rPr>
            </w:pPr>
            <w:proofErr w:type="spellStart"/>
            <w:r w:rsidRPr="00E92C22">
              <w:rPr>
                <w:rFonts w:ascii="Calibri" w:hAnsi="Calibri" w:cs="Calibri"/>
              </w:rPr>
              <w:t>Brancatella</w:t>
            </w:r>
            <w:proofErr w:type="spellEnd"/>
            <w:r w:rsidRPr="00E92C22">
              <w:rPr>
                <w:rFonts w:ascii="Calibri" w:hAnsi="Calibri" w:cs="Calibri"/>
              </w:rPr>
              <w:t xml:space="preserve"> A, Ricci D, Viola N, et al (2020). Subacute thyroiditis after Sars-COV-2 infection. J Clin Endocrinol </w:t>
            </w:r>
            <w:proofErr w:type="spellStart"/>
            <w:r w:rsidRPr="00E92C22">
              <w:rPr>
                <w:rFonts w:ascii="Calibri" w:hAnsi="Calibri" w:cs="Calibri"/>
              </w:rPr>
              <w:t>Metab</w:t>
            </w:r>
            <w:proofErr w:type="spellEnd"/>
            <w:r w:rsidRPr="00E92C22">
              <w:rPr>
                <w:rFonts w:ascii="Calibri" w:hAnsi="Calibri" w:cs="Calibri"/>
              </w:rPr>
              <w:t>, 105(7): dgaa276.</w:t>
            </w:r>
          </w:p>
        </w:tc>
      </w:tr>
      <w:tr w:rsidR="00270FBF" w14:paraId="55C019E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965F058" w14:textId="77777777" w:rsidR="00270FBF" w:rsidRPr="00E92C22" w:rsidRDefault="00270FBF" w:rsidP="00270FBF">
            <w:pPr>
              <w:jc w:val="center"/>
              <w:rPr>
                <w:rFonts w:ascii="Calibri" w:hAnsi="Calibri" w:cs="Calibri"/>
              </w:rPr>
            </w:pPr>
            <w:r w:rsidRPr="00E92C22">
              <w:rPr>
                <w:rFonts w:ascii="Calibri" w:hAnsi="Calibri" w:cs="Calibri"/>
              </w:rPr>
              <w:t>101439</w:t>
            </w:r>
          </w:p>
        </w:tc>
        <w:tc>
          <w:tcPr>
            <w:tcW w:w="7371" w:type="dxa"/>
            <w:tcBorders>
              <w:top w:val="single" w:sz="4" w:space="0" w:color="auto"/>
              <w:left w:val="single" w:sz="4" w:space="0" w:color="auto"/>
              <w:bottom w:val="single" w:sz="4" w:space="0" w:color="auto"/>
              <w:right w:val="single" w:sz="4" w:space="0" w:color="auto"/>
            </w:tcBorders>
            <w:hideMark/>
          </w:tcPr>
          <w:p w14:paraId="36C24439" w14:textId="77777777" w:rsidR="00270FBF" w:rsidRPr="00E92C22" w:rsidRDefault="00270FBF" w:rsidP="00270FBF">
            <w:pPr>
              <w:rPr>
                <w:rFonts w:ascii="Calibri" w:hAnsi="Calibri" w:cs="Calibri"/>
              </w:rPr>
            </w:pPr>
            <w:r w:rsidRPr="00E92C22">
              <w:rPr>
                <w:rFonts w:ascii="Calibri" w:hAnsi="Calibri" w:cs="Calibri"/>
              </w:rPr>
              <w:t>Bridwell RE, Willis GC, Gottlieb M, et al (2021). Decompensated hypothyroidism: A review for the emergency clinician. Am J Emerg Med, 39: 207-12.</w:t>
            </w:r>
          </w:p>
        </w:tc>
      </w:tr>
      <w:tr w:rsidR="00270FBF" w14:paraId="1CDCB9F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5AE4234" w14:textId="77777777" w:rsidR="00270FBF" w:rsidRPr="00E92C22" w:rsidRDefault="00270FBF" w:rsidP="00270FBF">
            <w:pPr>
              <w:jc w:val="center"/>
              <w:rPr>
                <w:rFonts w:ascii="Calibri" w:hAnsi="Calibri" w:cs="Calibri"/>
              </w:rPr>
            </w:pPr>
            <w:r w:rsidRPr="00E92C22">
              <w:rPr>
                <w:rFonts w:ascii="Calibri" w:hAnsi="Calibri" w:cs="Calibri"/>
              </w:rPr>
              <w:lastRenderedPageBreak/>
              <w:t>65636</w:t>
            </w:r>
          </w:p>
        </w:tc>
        <w:tc>
          <w:tcPr>
            <w:tcW w:w="7371" w:type="dxa"/>
            <w:tcBorders>
              <w:top w:val="single" w:sz="4" w:space="0" w:color="auto"/>
              <w:left w:val="single" w:sz="4" w:space="0" w:color="auto"/>
              <w:bottom w:val="single" w:sz="4" w:space="0" w:color="auto"/>
              <w:right w:val="single" w:sz="4" w:space="0" w:color="auto"/>
            </w:tcBorders>
            <w:hideMark/>
          </w:tcPr>
          <w:p w14:paraId="492EA0D4" w14:textId="77777777" w:rsidR="00270FBF" w:rsidRPr="00E92C22" w:rsidRDefault="00270FBF" w:rsidP="00270FBF">
            <w:pPr>
              <w:rPr>
                <w:rFonts w:ascii="Calibri" w:hAnsi="Calibri" w:cs="Calibri"/>
              </w:rPr>
            </w:pPr>
            <w:r w:rsidRPr="00E92C22">
              <w:rPr>
                <w:rFonts w:ascii="Calibri" w:hAnsi="Calibri" w:cs="Calibri"/>
              </w:rPr>
              <w:t xml:space="preserve">Brix TH, Hegedus L (2011). The complexity of the </w:t>
            </w:r>
            <w:proofErr w:type="spellStart"/>
            <w:r w:rsidRPr="00E92C22">
              <w:rPr>
                <w:rFonts w:ascii="Calibri" w:hAnsi="Calibri" w:cs="Calibri"/>
              </w:rPr>
              <w:t>etiology</w:t>
            </w:r>
            <w:proofErr w:type="spellEnd"/>
            <w:r w:rsidRPr="00E92C22">
              <w:rPr>
                <w:rFonts w:ascii="Calibri" w:hAnsi="Calibri" w:cs="Calibri"/>
              </w:rPr>
              <w:t xml:space="preserve"> of autoimmune thyroid disease is gravely underestimated. Thyroid, 21(12): 1289-92.</w:t>
            </w:r>
          </w:p>
        </w:tc>
      </w:tr>
      <w:tr w:rsidR="00270FBF" w14:paraId="17B8B0B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AD7D1A3" w14:textId="77777777" w:rsidR="00270FBF" w:rsidRPr="00E92C22" w:rsidRDefault="00270FBF" w:rsidP="00270FBF">
            <w:pPr>
              <w:jc w:val="center"/>
              <w:rPr>
                <w:rFonts w:ascii="Calibri" w:hAnsi="Calibri" w:cs="Calibri"/>
              </w:rPr>
            </w:pPr>
            <w:r w:rsidRPr="00E92C22">
              <w:rPr>
                <w:rFonts w:ascii="Calibri" w:hAnsi="Calibri" w:cs="Calibri"/>
              </w:rPr>
              <w:t>65362</w:t>
            </w:r>
          </w:p>
        </w:tc>
        <w:tc>
          <w:tcPr>
            <w:tcW w:w="7371" w:type="dxa"/>
            <w:tcBorders>
              <w:top w:val="single" w:sz="4" w:space="0" w:color="auto"/>
              <w:left w:val="single" w:sz="4" w:space="0" w:color="auto"/>
              <w:bottom w:val="single" w:sz="4" w:space="0" w:color="auto"/>
              <w:right w:val="single" w:sz="4" w:space="0" w:color="auto"/>
            </w:tcBorders>
            <w:hideMark/>
          </w:tcPr>
          <w:p w14:paraId="249232EF" w14:textId="77777777" w:rsidR="00270FBF" w:rsidRPr="00E92C22" w:rsidRDefault="00270FBF" w:rsidP="00270FBF">
            <w:pPr>
              <w:rPr>
                <w:rFonts w:ascii="Calibri" w:hAnsi="Calibri" w:cs="Calibri"/>
              </w:rPr>
            </w:pPr>
            <w:r w:rsidRPr="00E92C22">
              <w:rPr>
                <w:rFonts w:ascii="Calibri" w:hAnsi="Calibri" w:cs="Calibri"/>
              </w:rPr>
              <w:t xml:space="preserve">Brown RS (2009). Autoimmune thyroid disease: unlocking a complex puzzle. Curr </w:t>
            </w:r>
            <w:proofErr w:type="spellStart"/>
            <w:r w:rsidRPr="00E92C22">
              <w:rPr>
                <w:rFonts w:ascii="Calibri" w:hAnsi="Calibri" w:cs="Calibri"/>
              </w:rPr>
              <w:t>Opin</w:t>
            </w:r>
            <w:proofErr w:type="spellEnd"/>
            <w:r w:rsidRPr="00E92C22">
              <w:rPr>
                <w:rFonts w:ascii="Calibri" w:hAnsi="Calibri" w:cs="Calibri"/>
              </w:rPr>
              <w:t xml:space="preserve"> </w:t>
            </w:r>
            <w:proofErr w:type="spellStart"/>
            <w:r w:rsidRPr="00E92C22">
              <w:rPr>
                <w:rFonts w:ascii="Calibri" w:hAnsi="Calibri" w:cs="Calibri"/>
              </w:rPr>
              <w:t>Pediatr</w:t>
            </w:r>
            <w:proofErr w:type="spellEnd"/>
            <w:r w:rsidRPr="00E92C22">
              <w:rPr>
                <w:rFonts w:ascii="Calibri" w:hAnsi="Calibri" w:cs="Calibri"/>
              </w:rPr>
              <w:t>, 21(4): 523-8.</w:t>
            </w:r>
          </w:p>
        </w:tc>
      </w:tr>
      <w:tr w:rsidR="00270FBF" w14:paraId="43F5D19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35F8D82" w14:textId="77777777" w:rsidR="00270FBF" w:rsidRPr="00E92C22" w:rsidRDefault="00270FBF" w:rsidP="00270FBF">
            <w:pPr>
              <w:jc w:val="center"/>
              <w:rPr>
                <w:rFonts w:ascii="Calibri" w:hAnsi="Calibri" w:cs="Calibri"/>
              </w:rPr>
            </w:pPr>
            <w:r w:rsidRPr="00E92C22">
              <w:rPr>
                <w:rFonts w:ascii="Calibri" w:hAnsi="Calibri" w:cs="Calibri"/>
              </w:rPr>
              <w:t>65718</w:t>
            </w:r>
          </w:p>
        </w:tc>
        <w:tc>
          <w:tcPr>
            <w:tcW w:w="7371" w:type="dxa"/>
            <w:tcBorders>
              <w:top w:val="single" w:sz="4" w:space="0" w:color="auto"/>
              <w:left w:val="single" w:sz="4" w:space="0" w:color="auto"/>
              <w:bottom w:val="single" w:sz="4" w:space="0" w:color="auto"/>
              <w:right w:val="single" w:sz="4" w:space="0" w:color="auto"/>
            </w:tcBorders>
            <w:hideMark/>
          </w:tcPr>
          <w:p w14:paraId="23C47CD6" w14:textId="77777777" w:rsidR="00270FBF" w:rsidRPr="00E92C22" w:rsidRDefault="00270FBF" w:rsidP="00270FBF">
            <w:pPr>
              <w:rPr>
                <w:rFonts w:ascii="Calibri" w:hAnsi="Calibri" w:cs="Calibri"/>
              </w:rPr>
            </w:pPr>
            <w:proofErr w:type="spellStart"/>
            <w:r w:rsidRPr="00E92C22">
              <w:rPr>
                <w:rFonts w:ascii="Calibri" w:hAnsi="Calibri" w:cs="Calibri"/>
              </w:rPr>
              <w:t>Buffler</w:t>
            </w:r>
            <w:proofErr w:type="spellEnd"/>
            <w:r w:rsidRPr="00E92C22">
              <w:rPr>
                <w:rFonts w:ascii="Calibri" w:hAnsi="Calibri" w:cs="Calibri"/>
              </w:rPr>
              <w:t xml:space="preserve"> PA, Ginevan ME, Mandel JS, et al (2011). The Air Force health study: an epidemiologic retrospective. Ann Epidemiol, 21(9): 673-87.</w:t>
            </w:r>
          </w:p>
        </w:tc>
      </w:tr>
      <w:tr w:rsidR="00270FBF" w14:paraId="5713A2B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876825E" w14:textId="77777777" w:rsidR="00270FBF" w:rsidRPr="00E92C22" w:rsidRDefault="00270FBF" w:rsidP="00270FBF">
            <w:pPr>
              <w:jc w:val="center"/>
              <w:rPr>
                <w:rFonts w:ascii="Calibri" w:hAnsi="Calibri" w:cs="Calibri"/>
              </w:rPr>
            </w:pPr>
            <w:r w:rsidRPr="00E92C22">
              <w:rPr>
                <w:rFonts w:ascii="Calibri" w:hAnsi="Calibri" w:cs="Calibri"/>
              </w:rPr>
              <w:t>98943</w:t>
            </w:r>
          </w:p>
        </w:tc>
        <w:tc>
          <w:tcPr>
            <w:tcW w:w="7371" w:type="dxa"/>
            <w:tcBorders>
              <w:top w:val="single" w:sz="4" w:space="0" w:color="auto"/>
              <w:left w:val="single" w:sz="4" w:space="0" w:color="auto"/>
              <w:bottom w:val="single" w:sz="4" w:space="0" w:color="auto"/>
              <w:right w:val="single" w:sz="4" w:space="0" w:color="auto"/>
            </w:tcBorders>
            <w:hideMark/>
          </w:tcPr>
          <w:p w14:paraId="05743B4D" w14:textId="77777777" w:rsidR="00270FBF" w:rsidRPr="00E92C22" w:rsidRDefault="00270FBF" w:rsidP="00270FBF">
            <w:pPr>
              <w:rPr>
                <w:rFonts w:ascii="Calibri" w:hAnsi="Calibri" w:cs="Calibri"/>
              </w:rPr>
            </w:pPr>
            <w:r w:rsidRPr="00E92C22">
              <w:rPr>
                <w:rFonts w:ascii="Calibri" w:hAnsi="Calibri" w:cs="Calibri"/>
              </w:rPr>
              <w:t>Burman KD (2019). Postpartum thyroiditis. Retrieved 2 June 2021, from https://www.uptodate.com/contents/postpartum-thyroiditis</w:t>
            </w:r>
          </w:p>
        </w:tc>
      </w:tr>
      <w:tr w:rsidR="00270FBF" w14:paraId="4251B77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55DA43" w14:textId="77777777" w:rsidR="00270FBF" w:rsidRPr="00E92C22" w:rsidRDefault="00270FBF" w:rsidP="00270FBF">
            <w:pPr>
              <w:jc w:val="center"/>
              <w:rPr>
                <w:rFonts w:ascii="Calibri" w:hAnsi="Calibri" w:cs="Calibri"/>
              </w:rPr>
            </w:pPr>
            <w:r w:rsidRPr="00E92C22">
              <w:rPr>
                <w:rFonts w:ascii="Calibri" w:hAnsi="Calibri" w:cs="Calibri"/>
              </w:rPr>
              <w:t>102643</w:t>
            </w:r>
          </w:p>
        </w:tc>
        <w:tc>
          <w:tcPr>
            <w:tcW w:w="7371" w:type="dxa"/>
            <w:tcBorders>
              <w:top w:val="single" w:sz="4" w:space="0" w:color="auto"/>
              <w:left w:val="single" w:sz="4" w:space="0" w:color="auto"/>
              <w:bottom w:val="single" w:sz="4" w:space="0" w:color="auto"/>
              <w:right w:val="single" w:sz="4" w:space="0" w:color="auto"/>
            </w:tcBorders>
            <w:hideMark/>
          </w:tcPr>
          <w:p w14:paraId="23A31462" w14:textId="77777777" w:rsidR="00270FBF" w:rsidRPr="00E92C22" w:rsidRDefault="00270FBF" w:rsidP="00270FBF">
            <w:pPr>
              <w:rPr>
                <w:rFonts w:ascii="Calibri" w:hAnsi="Calibri" w:cs="Calibri"/>
              </w:rPr>
            </w:pPr>
            <w:proofErr w:type="spellStart"/>
            <w:r w:rsidRPr="00E92C22">
              <w:rPr>
                <w:rFonts w:ascii="Calibri" w:hAnsi="Calibri" w:cs="Calibri"/>
              </w:rPr>
              <w:t>Calsolaro</w:t>
            </w:r>
            <w:proofErr w:type="spellEnd"/>
            <w:r w:rsidRPr="00E92C22">
              <w:rPr>
                <w:rFonts w:ascii="Calibri" w:hAnsi="Calibri" w:cs="Calibri"/>
              </w:rPr>
              <w:t xml:space="preserve"> V, Pasqualetti G, Niccolai F, et al (2017). Thyroid disrupting chemicals. Int J Mol Sci, 18(12): 2583.</w:t>
            </w:r>
          </w:p>
        </w:tc>
      </w:tr>
      <w:tr w:rsidR="00270FBF" w14:paraId="6411BB6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3F8FF9D" w14:textId="77777777" w:rsidR="00270FBF" w:rsidRPr="00E92C22" w:rsidRDefault="00270FBF" w:rsidP="00270FBF">
            <w:pPr>
              <w:jc w:val="center"/>
              <w:rPr>
                <w:rFonts w:ascii="Calibri" w:hAnsi="Calibri" w:cs="Calibri"/>
              </w:rPr>
            </w:pPr>
            <w:r w:rsidRPr="00E92C22">
              <w:rPr>
                <w:rFonts w:ascii="Calibri" w:hAnsi="Calibri" w:cs="Calibri"/>
              </w:rPr>
              <w:t>65351</w:t>
            </w:r>
          </w:p>
        </w:tc>
        <w:tc>
          <w:tcPr>
            <w:tcW w:w="7371" w:type="dxa"/>
            <w:tcBorders>
              <w:top w:val="single" w:sz="4" w:space="0" w:color="auto"/>
              <w:left w:val="single" w:sz="4" w:space="0" w:color="auto"/>
              <w:bottom w:val="single" w:sz="4" w:space="0" w:color="auto"/>
              <w:right w:val="single" w:sz="4" w:space="0" w:color="auto"/>
            </w:tcBorders>
            <w:hideMark/>
          </w:tcPr>
          <w:p w14:paraId="127315A3" w14:textId="77777777" w:rsidR="00270FBF" w:rsidRPr="00E92C22" w:rsidRDefault="00270FBF" w:rsidP="00270FBF">
            <w:pPr>
              <w:rPr>
                <w:rFonts w:ascii="Calibri" w:hAnsi="Calibri" w:cs="Calibri"/>
              </w:rPr>
            </w:pPr>
            <w:r w:rsidRPr="00E92C22">
              <w:rPr>
                <w:rFonts w:ascii="Calibri" w:hAnsi="Calibri" w:cs="Calibri"/>
              </w:rPr>
              <w:t xml:space="preserve">Calvert GM, Sweeney MH, Deddens J, et al (1999). Evaluation of diabetes mellitus, serum glucose, and thyroid function among United States workers exposed to 2,3,7,8-tetrachlorodibenzo-p-dioxin. </w:t>
            </w:r>
            <w:proofErr w:type="spellStart"/>
            <w:r w:rsidRPr="00E92C22">
              <w:rPr>
                <w:rFonts w:ascii="Calibri" w:hAnsi="Calibri" w:cs="Calibri"/>
              </w:rPr>
              <w:t>Occup</w:t>
            </w:r>
            <w:proofErr w:type="spellEnd"/>
            <w:r w:rsidRPr="00E92C22">
              <w:rPr>
                <w:rFonts w:ascii="Calibri" w:hAnsi="Calibri" w:cs="Calibri"/>
              </w:rPr>
              <w:t xml:space="preserve"> Environ Med, 56(4): 270-6.</w:t>
            </w:r>
          </w:p>
        </w:tc>
      </w:tr>
      <w:tr w:rsidR="00270FBF" w14:paraId="05B0FB0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74EFFD7" w14:textId="77777777" w:rsidR="00270FBF" w:rsidRPr="00E92C22" w:rsidRDefault="00270FBF" w:rsidP="00270FBF">
            <w:pPr>
              <w:jc w:val="center"/>
              <w:rPr>
                <w:rFonts w:ascii="Calibri" w:hAnsi="Calibri" w:cs="Calibri"/>
              </w:rPr>
            </w:pPr>
            <w:r w:rsidRPr="00E92C22">
              <w:rPr>
                <w:rFonts w:ascii="Calibri" w:hAnsi="Calibri" w:cs="Calibri"/>
              </w:rPr>
              <w:t>43945</w:t>
            </w:r>
          </w:p>
        </w:tc>
        <w:tc>
          <w:tcPr>
            <w:tcW w:w="7371" w:type="dxa"/>
            <w:tcBorders>
              <w:top w:val="single" w:sz="4" w:space="0" w:color="auto"/>
              <w:left w:val="single" w:sz="4" w:space="0" w:color="auto"/>
              <w:bottom w:val="single" w:sz="4" w:space="0" w:color="auto"/>
              <w:right w:val="single" w:sz="4" w:space="0" w:color="auto"/>
            </w:tcBorders>
            <w:hideMark/>
          </w:tcPr>
          <w:p w14:paraId="4CB98F08" w14:textId="77777777" w:rsidR="00270FBF" w:rsidRPr="00E92C22" w:rsidRDefault="00270FBF" w:rsidP="00270FBF">
            <w:pPr>
              <w:rPr>
                <w:rFonts w:ascii="Calibri" w:hAnsi="Calibri" w:cs="Calibri"/>
              </w:rPr>
            </w:pPr>
            <w:r w:rsidRPr="006E1170">
              <w:rPr>
                <w:rFonts w:ascii="Calibri" w:hAnsi="Calibri" w:cs="Calibri"/>
                <w:lang w:val="de-DE"/>
              </w:rPr>
              <w:t xml:space="preserve">Cardis E, Vrijheid M, Blettner M, et al (2007). </w:t>
            </w:r>
            <w:r w:rsidRPr="00E92C22">
              <w:rPr>
                <w:rFonts w:ascii="Calibri" w:hAnsi="Calibri" w:cs="Calibri"/>
              </w:rPr>
              <w:t xml:space="preserve">The 15-Country collaborative study of cancer risk among radiation workers in the nuclear industry: estimates of radiation-related cancer risks. </w:t>
            </w:r>
            <w:proofErr w:type="spellStart"/>
            <w:r w:rsidRPr="00E92C22">
              <w:rPr>
                <w:rFonts w:ascii="Calibri" w:hAnsi="Calibri" w:cs="Calibri"/>
              </w:rPr>
              <w:t>Radiat</w:t>
            </w:r>
            <w:proofErr w:type="spellEnd"/>
            <w:r w:rsidRPr="00E92C22">
              <w:rPr>
                <w:rFonts w:ascii="Calibri" w:hAnsi="Calibri" w:cs="Calibri"/>
              </w:rPr>
              <w:t xml:space="preserve"> Res, 167(4): 396-416.</w:t>
            </w:r>
          </w:p>
        </w:tc>
      </w:tr>
      <w:tr w:rsidR="00270FBF" w14:paraId="2914B5B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19AFC34" w14:textId="77777777" w:rsidR="00270FBF" w:rsidRPr="00E92C22" w:rsidRDefault="00270FBF" w:rsidP="00270FBF">
            <w:pPr>
              <w:jc w:val="center"/>
              <w:rPr>
                <w:rFonts w:ascii="Calibri" w:hAnsi="Calibri" w:cs="Calibri"/>
              </w:rPr>
            </w:pPr>
            <w:r w:rsidRPr="00E92C22">
              <w:rPr>
                <w:rFonts w:ascii="Calibri" w:hAnsi="Calibri" w:cs="Calibri"/>
              </w:rPr>
              <w:t>102354</w:t>
            </w:r>
          </w:p>
        </w:tc>
        <w:tc>
          <w:tcPr>
            <w:tcW w:w="7371" w:type="dxa"/>
            <w:tcBorders>
              <w:top w:val="single" w:sz="4" w:space="0" w:color="auto"/>
              <w:left w:val="single" w:sz="4" w:space="0" w:color="auto"/>
              <w:bottom w:val="single" w:sz="4" w:space="0" w:color="auto"/>
              <w:right w:val="single" w:sz="4" w:space="0" w:color="auto"/>
            </w:tcBorders>
            <w:hideMark/>
          </w:tcPr>
          <w:p w14:paraId="61CA4DBA" w14:textId="77777777" w:rsidR="00270FBF" w:rsidRPr="00E92C22" w:rsidRDefault="00270FBF" w:rsidP="00270FBF">
            <w:pPr>
              <w:rPr>
                <w:rFonts w:ascii="Calibri" w:hAnsi="Calibri" w:cs="Calibri"/>
              </w:rPr>
            </w:pPr>
            <w:r w:rsidRPr="00E92C22">
              <w:rPr>
                <w:rFonts w:ascii="Calibri" w:hAnsi="Calibri" w:cs="Calibri"/>
              </w:rPr>
              <w:t>Carle A, Bulow Pedersen I, Knudsen N, et al (2012). Smoking cessation is followed by a sharp but transient rise in the incidence of overt autoimmune hypothyroidism - a population-based, case-control study. Clin Endocrinol (</w:t>
            </w:r>
            <w:proofErr w:type="spellStart"/>
            <w:r w:rsidRPr="00E92C22">
              <w:rPr>
                <w:rFonts w:ascii="Calibri" w:hAnsi="Calibri" w:cs="Calibri"/>
              </w:rPr>
              <w:t>Oxf</w:t>
            </w:r>
            <w:proofErr w:type="spellEnd"/>
            <w:r w:rsidRPr="00E92C22">
              <w:rPr>
                <w:rFonts w:ascii="Calibri" w:hAnsi="Calibri" w:cs="Calibri"/>
              </w:rPr>
              <w:t>), 77(5): 764-72.</w:t>
            </w:r>
          </w:p>
        </w:tc>
      </w:tr>
      <w:tr w:rsidR="00270FBF" w14:paraId="589F889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A8BB221" w14:textId="77777777" w:rsidR="00270FBF" w:rsidRPr="00E92C22" w:rsidRDefault="00270FBF" w:rsidP="00270FBF">
            <w:pPr>
              <w:jc w:val="center"/>
              <w:rPr>
                <w:rFonts w:ascii="Calibri" w:hAnsi="Calibri" w:cs="Calibri"/>
              </w:rPr>
            </w:pPr>
            <w:r w:rsidRPr="00E92C22">
              <w:rPr>
                <w:rFonts w:ascii="Calibri" w:hAnsi="Calibri" w:cs="Calibri"/>
              </w:rPr>
              <w:t>65913</w:t>
            </w:r>
          </w:p>
        </w:tc>
        <w:tc>
          <w:tcPr>
            <w:tcW w:w="7371" w:type="dxa"/>
            <w:tcBorders>
              <w:top w:val="single" w:sz="4" w:space="0" w:color="auto"/>
              <w:left w:val="single" w:sz="4" w:space="0" w:color="auto"/>
              <w:bottom w:val="single" w:sz="4" w:space="0" w:color="auto"/>
              <w:right w:val="single" w:sz="4" w:space="0" w:color="auto"/>
            </w:tcBorders>
            <w:hideMark/>
          </w:tcPr>
          <w:p w14:paraId="7C3D5980" w14:textId="77777777" w:rsidR="00270FBF" w:rsidRPr="00E92C22" w:rsidRDefault="00270FBF" w:rsidP="00270FBF">
            <w:pPr>
              <w:rPr>
                <w:rFonts w:ascii="Calibri" w:hAnsi="Calibri" w:cs="Calibri"/>
              </w:rPr>
            </w:pPr>
            <w:r w:rsidRPr="00E92C22">
              <w:rPr>
                <w:rFonts w:ascii="Calibri" w:hAnsi="Calibri" w:cs="Calibri"/>
              </w:rPr>
              <w:t xml:space="preserve">Carle A, Pedersen IB, Knudsen N, et al (2009). Thyroid volume in hypothyroidism due to autoimmune disease follows a unimodal distribution: evidence against primary thyroid atrophy and autoimmune thyroiditis being distinct diseases. J Clin Endocrinol </w:t>
            </w:r>
            <w:proofErr w:type="spellStart"/>
            <w:r w:rsidRPr="00E92C22">
              <w:rPr>
                <w:rFonts w:ascii="Calibri" w:hAnsi="Calibri" w:cs="Calibri"/>
              </w:rPr>
              <w:t>Metab</w:t>
            </w:r>
            <w:proofErr w:type="spellEnd"/>
            <w:r w:rsidRPr="00E92C22">
              <w:rPr>
                <w:rFonts w:ascii="Calibri" w:hAnsi="Calibri" w:cs="Calibri"/>
              </w:rPr>
              <w:t>, 94(3): 833-9.</w:t>
            </w:r>
          </w:p>
        </w:tc>
      </w:tr>
      <w:tr w:rsidR="00270FBF" w14:paraId="03EBCB7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B4739A7" w14:textId="77777777" w:rsidR="00270FBF" w:rsidRPr="00E92C22" w:rsidRDefault="00270FBF" w:rsidP="00270FBF">
            <w:pPr>
              <w:jc w:val="center"/>
              <w:rPr>
                <w:rFonts w:ascii="Calibri" w:hAnsi="Calibri" w:cs="Calibri"/>
              </w:rPr>
            </w:pPr>
            <w:r w:rsidRPr="00E92C22">
              <w:rPr>
                <w:rFonts w:ascii="Calibri" w:hAnsi="Calibri" w:cs="Calibri"/>
              </w:rPr>
              <w:t>45909</w:t>
            </w:r>
          </w:p>
        </w:tc>
        <w:tc>
          <w:tcPr>
            <w:tcW w:w="7371" w:type="dxa"/>
            <w:tcBorders>
              <w:top w:val="single" w:sz="4" w:space="0" w:color="auto"/>
              <w:left w:val="single" w:sz="4" w:space="0" w:color="auto"/>
              <w:bottom w:val="single" w:sz="4" w:space="0" w:color="auto"/>
              <w:right w:val="single" w:sz="4" w:space="0" w:color="auto"/>
            </w:tcBorders>
            <w:hideMark/>
          </w:tcPr>
          <w:p w14:paraId="767BBC18" w14:textId="77777777" w:rsidR="00270FBF" w:rsidRPr="00E92C22" w:rsidRDefault="00270FBF" w:rsidP="00270FBF">
            <w:pPr>
              <w:rPr>
                <w:rFonts w:ascii="Calibri" w:hAnsi="Calibri" w:cs="Calibri"/>
              </w:rPr>
            </w:pPr>
            <w:r w:rsidRPr="00E92C22">
              <w:rPr>
                <w:rFonts w:ascii="Calibri" w:hAnsi="Calibri" w:cs="Calibri"/>
              </w:rPr>
              <w:t>Carpenter DO (2006). Polychlorinated biphenyls (PCBs): routes of exposure and effects on human health. Rev Environ Health, 21(1): 1-23.</w:t>
            </w:r>
          </w:p>
        </w:tc>
      </w:tr>
      <w:tr w:rsidR="00270FBF" w14:paraId="0010F92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7E8AF75" w14:textId="77777777" w:rsidR="00270FBF" w:rsidRPr="00E92C22" w:rsidRDefault="00270FBF" w:rsidP="00270FBF">
            <w:pPr>
              <w:jc w:val="center"/>
              <w:rPr>
                <w:rFonts w:ascii="Calibri" w:hAnsi="Calibri" w:cs="Calibri"/>
              </w:rPr>
            </w:pPr>
            <w:r w:rsidRPr="00E92C22">
              <w:rPr>
                <w:rFonts w:ascii="Calibri" w:hAnsi="Calibri" w:cs="Calibri"/>
              </w:rPr>
              <w:t>80746</w:t>
            </w:r>
          </w:p>
        </w:tc>
        <w:tc>
          <w:tcPr>
            <w:tcW w:w="7371" w:type="dxa"/>
            <w:tcBorders>
              <w:top w:val="single" w:sz="4" w:space="0" w:color="auto"/>
              <w:left w:val="single" w:sz="4" w:space="0" w:color="auto"/>
              <w:bottom w:val="single" w:sz="4" w:space="0" w:color="auto"/>
              <w:right w:val="single" w:sz="4" w:space="0" w:color="auto"/>
            </w:tcBorders>
            <w:hideMark/>
          </w:tcPr>
          <w:p w14:paraId="049FC338" w14:textId="77777777" w:rsidR="00270FBF" w:rsidRPr="00E92C22" w:rsidRDefault="00270FBF" w:rsidP="00270FBF">
            <w:pPr>
              <w:rPr>
                <w:rFonts w:ascii="Calibri" w:hAnsi="Calibri" w:cs="Calibri"/>
              </w:rPr>
            </w:pPr>
            <w:r w:rsidRPr="00E92C22">
              <w:rPr>
                <w:rFonts w:ascii="Calibri" w:hAnsi="Calibri" w:cs="Calibri"/>
              </w:rPr>
              <w:t>Carter M, Robotham F, Wise K, et al (2006). Australian Participants in British Nuclear Tests in Australia, Vol 1: Dosimetry. Commonwealth of Australia.</w:t>
            </w:r>
          </w:p>
        </w:tc>
      </w:tr>
      <w:tr w:rsidR="00270FBF" w14:paraId="074F3F5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6336E1E" w14:textId="77777777" w:rsidR="00270FBF" w:rsidRPr="00E92C22" w:rsidRDefault="00270FBF" w:rsidP="00270FBF">
            <w:pPr>
              <w:jc w:val="center"/>
              <w:rPr>
                <w:rFonts w:ascii="Calibri" w:hAnsi="Calibri" w:cs="Calibri"/>
              </w:rPr>
            </w:pPr>
            <w:r w:rsidRPr="00E92C22">
              <w:rPr>
                <w:rFonts w:ascii="Calibri" w:hAnsi="Calibri" w:cs="Calibri"/>
              </w:rPr>
              <w:t>80747</w:t>
            </w:r>
          </w:p>
        </w:tc>
        <w:tc>
          <w:tcPr>
            <w:tcW w:w="7371" w:type="dxa"/>
            <w:tcBorders>
              <w:top w:val="single" w:sz="4" w:space="0" w:color="auto"/>
              <w:left w:val="single" w:sz="4" w:space="0" w:color="auto"/>
              <w:bottom w:val="single" w:sz="4" w:space="0" w:color="auto"/>
              <w:right w:val="single" w:sz="4" w:space="0" w:color="auto"/>
            </w:tcBorders>
            <w:hideMark/>
          </w:tcPr>
          <w:p w14:paraId="1E142EAC" w14:textId="77777777" w:rsidR="00270FBF" w:rsidRPr="00E92C22" w:rsidRDefault="00270FBF" w:rsidP="00270FBF">
            <w:pPr>
              <w:rPr>
                <w:rFonts w:ascii="Calibri" w:hAnsi="Calibri" w:cs="Calibri"/>
              </w:rPr>
            </w:pPr>
            <w:proofErr w:type="spellStart"/>
            <w:r w:rsidRPr="00E92C22">
              <w:rPr>
                <w:rFonts w:ascii="Calibri" w:hAnsi="Calibri" w:cs="Calibri"/>
              </w:rPr>
              <w:t>Centers</w:t>
            </w:r>
            <w:proofErr w:type="spellEnd"/>
            <w:r w:rsidRPr="00E92C22">
              <w:rPr>
                <w:rFonts w:ascii="Calibri" w:hAnsi="Calibri" w:cs="Calibri"/>
              </w:rPr>
              <w:t xml:space="preserve"> for Disease Control and Prevention (CDC) (2015). Radioisotope brief: Uranium. Retrieved 8 February 2017, from https://emergency.cdc.gov/radiation/isotopes/uranium.asp</w:t>
            </w:r>
          </w:p>
        </w:tc>
      </w:tr>
      <w:tr w:rsidR="00270FBF" w14:paraId="0C0F94F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63D0788" w14:textId="77777777" w:rsidR="00270FBF" w:rsidRPr="00E92C22" w:rsidRDefault="00270FBF" w:rsidP="00270FBF">
            <w:pPr>
              <w:jc w:val="center"/>
              <w:rPr>
                <w:rFonts w:ascii="Calibri" w:hAnsi="Calibri" w:cs="Calibri"/>
              </w:rPr>
            </w:pPr>
            <w:r w:rsidRPr="00E92C22">
              <w:rPr>
                <w:rFonts w:ascii="Calibri" w:hAnsi="Calibri" w:cs="Calibri"/>
              </w:rPr>
              <w:t>50409</w:t>
            </w:r>
          </w:p>
        </w:tc>
        <w:tc>
          <w:tcPr>
            <w:tcW w:w="7371" w:type="dxa"/>
            <w:tcBorders>
              <w:top w:val="single" w:sz="4" w:space="0" w:color="auto"/>
              <w:left w:val="single" w:sz="4" w:space="0" w:color="auto"/>
              <w:bottom w:val="single" w:sz="4" w:space="0" w:color="auto"/>
              <w:right w:val="single" w:sz="4" w:space="0" w:color="auto"/>
            </w:tcBorders>
            <w:hideMark/>
          </w:tcPr>
          <w:p w14:paraId="6E569E9B" w14:textId="77777777" w:rsidR="00270FBF" w:rsidRPr="00E92C22" w:rsidRDefault="00270FBF" w:rsidP="00270FBF">
            <w:pPr>
              <w:rPr>
                <w:rFonts w:ascii="Calibri" w:hAnsi="Calibri" w:cs="Calibri"/>
              </w:rPr>
            </w:pPr>
            <w:r w:rsidRPr="00E92C22">
              <w:rPr>
                <w:rFonts w:ascii="Calibri" w:hAnsi="Calibri" w:cs="Calibri"/>
              </w:rPr>
              <w:t xml:space="preserve">Chaker L, Bianco AC, </w:t>
            </w:r>
            <w:proofErr w:type="spellStart"/>
            <w:r w:rsidRPr="00E92C22">
              <w:rPr>
                <w:rFonts w:ascii="Calibri" w:hAnsi="Calibri" w:cs="Calibri"/>
              </w:rPr>
              <w:t>Jonklaas</w:t>
            </w:r>
            <w:proofErr w:type="spellEnd"/>
            <w:r w:rsidRPr="00E92C22">
              <w:rPr>
                <w:rFonts w:ascii="Calibri" w:hAnsi="Calibri" w:cs="Calibri"/>
              </w:rPr>
              <w:t xml:space="preserve"> J, et al (2017). Hypothyroidism. Lancet, 390(10101): 1550-62.</w:t>
            </w:r>
          </w:p>
        </w:tc>
      </w:tr>
      <w:tr w:rsidR="00270FBF" w14:paraId="2A38E0D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CD2E741" w14:textId="77777777" w:rsidR="00270FBF" w:rsidRPr="00E92C22" w:rsidRDefault="00270FBF" w:rsidP="00270FBF">
            <w:pPr>
              <w:jc w:val="center"/>
              <w:rPr>
                <w:rFonts w:ascii="Calibri" w:hAnsi="Calibri" w:cs="Calibri"/>
              </w:rPr>
            </w:pPr>
            <w:r w:rsidRPr="00E92C22">
              <w:rPr>
                <w:rFonts w:ascii="Calibri" w:hAnsi="Calibri" w:cs="Calibri"/>
              </w:rPr>
              <w:t>102786</w:t>
            </w:r>
          </w:p>
        </w:tc>
        <w:tc>
          <w:tcPr>
            <w:tcW w:w="7371" w:type="dxa"/>
            <w:tcBorders>
              <w:top w:val="single" w:sz="4" w:space="0" w:color="auto"/>
              <w:left w:val="single" w:sz="4" w:space="0" w:color="auto"/>
              <w:bottom w:val="single" w:sz="4" w:space="0" w:color="auto"/>
              <w:right w:val="single" w:sz="4" w:space="0" w:color="auto"/>
            </w:tcBorders>
            <w:hideMark/>
          </w:tcPr>
          <w:p w14:paraId="51FE7770" w14:textId="77777777" w:rsidR="00270FBF" w:rsidRPr="00E92C22" w:rsidRDefault="00270FBF" w:rsidP="00270FBF">
            <w:pPr>
              <w:rPr>
                <w:rFonts w:ascii="Calibri" w:hAnsi="Calibri" w:cs="Calibri"/>
              </w:rPr>
            </w:pPr>
            <w:r w:rsidRPr="00E92C22">
              <w:rPr>
                <w:rFonts w:ascii="Calibri" w:hAnsi="Calibri" w:cs="Calibri"/>
              </w:rPr>
              <w:t xml:space="preserve">Chalan P, Di </w:t>
            </w:r>
            <w:proofErr w:type="spellStart"/>
            <w:r w:rsidRPr="00E92C22">
              <w:rPr>
                <w:rFonts w:ascii="Calibri" w:hAnsi="Calibri" w:cs="Calibri"/>
              </w:rPr>
              <w:t>Dalmazi</w:t>
            </w:r>
            <w:proofErr w:type="spellEnd"/>
            <w:r w:rsidRPr="00E92C22">
              <w:rPr>
                <w:rFonts w:ascii="Calibri" w:hAnsi="Calibri" w:cs="Calibri"/>
              </w:rPr>
              <w:t xml:space="preserve"> G, Pani F, et al (2018). Thyroid dysfunctions secondary to cancer immunotherapy. J Endocrinol Invest, 41(6): 625-38.</w:t>
            </w:r>
          </w:p>
        </w:tc>
      </w:tr>
      <w:tr w:rsidR="00270FBF" w14:paraId="11BDD029"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315D006" w14:textId="77777777" w:rsidR="00270FBF" w:rsidRPr="00E92C22" w:rsidRDefault="00270FBF" w:rsidP="00270FBF">
            <w:pPr>
              <w:jc w:val="center"/>
              <w:rPr>
                <w:rFonts w:ascii="Calibri" w:hAnsi="Calibri" w:cs="Calibri"/>
              </w:rPr>
            </w:pPr>
            <w:r w:rsidRPr="00E92C22">
              <w:rPr>
                <w:rFonts w:ascii="Calibri" w:hAnsi="Calibri" w:cs="Calibri"/>
              </w:rPr>
              <w:t>65363</w:t>
            </w:r>
          </w:p>
        </w:tc>
        <w:tc>
          <w:tcPr>
            <w:tcW w:w="7371" w:type="dxa"/>
            <w:tcBorders>
              <w:top w:val="single" w:sz="4" w:space="0" w:color="auto"/>
              <w:left w:val="single" w:sz="4" w:space="0" w:color="auto"/>
              <w:bottom w:val="single" w:sz="4" w:space="0" w:color="auto"/>
              <w:right w:val="single" w:sz="4" w:space="0" w:color="auto"/>
            </w:tcBorders>
            <w:hideMark/>
          </w:tcPr>
          <w:p w14:paraId="56DA5A0F" w14:textId="77777777" w:rsidR="00270FBF" w:rsidRPr="00E92C22" w:rsidRDefault="00270FBF" w:rsidP="00270FBF">
            <w:pPr>
              <w:rPr>
                <w:rFonts w:ascii="Calibri" w:hAnsi="Calibri" w:cs="Calibri"/>
              </w:rPr>
            </w:pPr>
            <w:r w:rsidRPr="006E1170">
              <w:rPr>
                <w:rFonts w:ascii="Calibri" w:hAnsi="Calibri" w:cs="Calibri"/>
                <w:lang w:val="de-DE"/>
              </w:rPr>
              <w:t xml:space="preserve">Chehade JM, Lim W, Silverberg AB, et al (2009). </w:t>
            </w:r>
            <w:r w:rsidRPr="00E92C22">
              <w:rPr>
                <w:rFonts w:ascii="Calibri" w:hAnsi="Calibri" w:cs="Calibri"/>
              </w:rPr>
              <w:t xml:space="preserve">The incidence of Hashimoto's disease in nodular goitre: the concordance in serological and cytological findings. Int J Clin </w:t>
            </w:r>
            <w:proofErr w:type="spellStart"/>
            <w:r w:rsidRPr="00E92C22">
              <w:rPr>
                <w:rFonts w:ascii="Calibri" w:hAnsi="Calibri" w:cs="Calibri"/>
              </w:rPr>
              <w:t>Pract</w:t>
            </w:r>
            <w:proofErr w:type="spellEnd"/>
            <w:r w:rsidRPr="00E92C22">
              <w:rPr>
                <w:rFonts w:ascii="Calibri" w:hAnsi="Calibri" w:cs="Calibri"/>
              </w:rPr>
              <w:t>, 64(1): 29-33.</w:t>
            </w:r>
          </w:p>
        </w:tc>
      </w:tr>
      <w:tr w:rsidR="00270FBF" w14:paraId="52126139"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9E77F26" w14:textId="77777777" w:rsidR="00270FBF" w:rsidRPr="00E92C22" w:rsidRDefault="00270FBF" w:rsidP="00270FBF">
            <w:pPr>
              <w:jc w:val="center"/>
              <w:rPr>
                <w:rFonts w:ascii="Calibri" w:hAnsi="Calibri" w:cs="Calibri"/>
              </w:rPr>
            </w:pPr>
            <w:r w:rsidRPr="00E92C22">
              <w:rPr>
                <w:rFonts w:ascii="Calibri" w:hAnsi="Calibri" w:cs="Calibri"/>
              </w:rPr>
              <w:t>102927</w:t>
            </w:r>
          </w:p>
        </w:tc>
        <w:tc>
          <w:tcPr>
            <w:tcW w:w="7371" w:type="dxa"/>
            <w:tcBorders>
              <w:top w:val="single" w:sz="4" w:space="0" w:color="auto"/>
              <w:left w:val="single" w:sz="4" w:space="0" w:color="auto"/>
              <w:bottom w:val="single" w:sz="4" w:space="0" w:color="auto"/>
              <w:right w:val="single" w:sz="4" w:space="0" w:color="auto"/>
            </w:tcBorders>
            <w:hideMark/>
          </w:tcPr>
          <w:p w14:paraId="0105AEDF" w14:textId="77777777" w:rsidR="00270FBF" w:rsidRPr="00E92C22" w:rsidRDefault="00270FBF" w:rsidP="00270FBF">
            <w:pPr>
              <w:rPr>
                <w:rFonts w:ascii="Calibri" w:hAnsi="Calibri" w:cs="Calibri"/>
              </w:rPr>
            </w:pPr>
            <w:r w:rsidRPr="00E92C22">
              <w:rPr>
                <w:rFonts w:ascii="Calibri" w:hAnsi="Calibri" w:cs="Calibri"/>
              </w:rPr>
              <w:t>Chen W, Tian Y, Li Z, et al (2021). Potential interaction between SARS-CoV-2 and thyroid: A review. Endocrinology, 162(3): bqab004.</w:t>
            </w:r>
          </w:p>
        </w:tc>
      </w:tr>
      <w:tr w:rsidR="00270FBF" w14:paraId="73F698B9"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628BB1A" w14:textId="77777777" w:rsidR="00270FBF" w:rsidRPr="00E92C22" w:rsidRDefault="00270FBF" w:rsidP="00270FBF">
            <w:pPr>
              <w:jc w:val="center"/>
              <w:rPr>
                <w:rFonts w:ascii="Calibri" w:hAnsi="Calibri" w:cs="Calibri"/>
              </w:rPr>
            </w:pPr>
            <w:r w:rsidRPr="00E92C22">
              <w:rPr>
                <w:rFonts w:ascii="Calibri" w:hAnsi="Calibri" w:cs="Calibri"/>
              </w:rPr>
              <w:t>102645</w:t>
            </w:r>
          </w:p>
        </w:tc>
        <w:tc>
          <w:tcPr>
            <w:tcW w:w="7371" w:type="dxa"/>
            <w:tcBorders>
              <w:top w:val="single" w:sz="4" w:space="0" w:color="auto"/>
              <w:left w:val="single" w:sz="4" w:space="0" w:color="auto"/>
              <w:bottom w:val="single" w:sz="4" w:space="0" w:color="auto"/>
              <w:right w:val="single" w:sz="4" w:space="0" w:color="auto"/>
            </w:tcBorders>
            <w:hideMark/>
          </w:tcPr>
          <w:p w14:paraId="039E88E6" w14:textId="77777777" w:rsidR="00270FBF" w:rsidRPr="00E92C22" w:rsidRDefault="00270FBF" w:rsidP="00270FBF">
            <w:pPr>
              <w:rPr>
                <w:rFonts w:ascii="Calibri" w:hAnsi="Calibri" w:cs="Calibri"/>
              </w:rPr>
            </w:pPr>
            <w:proofErr w:type="spellStart"/>
            <w:r w:rsidRPr="00E92C22">
              <w:rPr>
                <w:rFonts w:ascii="Calibri" w:hAnsi="Calibri" w:cs="Calibri"/>
              </w:rPr>
              <w:t>Chiovato</w:t>
            </w:r>
            <w:proofErr w:type="spellEnd"/>
            <w:r w:rsidRPr="00E92C22">
              <w:rPr>
                <w:rFonts w:ascii="Calibri" w:hAnsi="Calibri" w:cs="Calibri"/>
              </w:rPr>
              <w:t xml:space="preserve"> L, Magri F, Carle A (2019). Hypothyroidism in context: where we've been and where we're going. Adv Ther, 36(Suppl 2): 47-58.</w:t>
            </w:r>
          </w:p>
        </w:tc>
      </w:tr>
      <w:tr w:rsidR="00270FBF" w14:paraId="4721E9E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64DE1C0" w14:textId="77777777" w:rsidR="00270FBF" w:rsidRPr="00E92C22" w:rsidRDefault="00270FBF" w:rsidP="00270FBF">
            <w:pPr>
              <w:jc w:val="center"/>
              <w:rPr>
                <w:rFonts w:ascii="Calibri" w:hAnsi="Calibri" w:cs="Calibri"/>
              </w:rPr>
            </w:pPr>
            <w:r w:rsidRPr="00E92C22">
              <w:rPr>
                <w:rFonts w:ascii="Calibri" w:hAnsi="Calibri" w:cs="Calibri"/>
              </w:rPr>
              <w:t>66967</w:t>
            </w:r>
          </w:p>
        </w:tc>
        <w:tc>
          <w:tcPr>
            <w:tcW w:w="7371" w:type="dxa"/>
            <w:tcBorders>
              <w:top w:val="single" w:sz="4" w:space="0" w:color="auto"/>
              <w:left w:val="single" w:sz="4" w:space="0" w:color="auto"/>
              <w:bottom w:val="single" w:sz="4" w:space="0" w:color="auto"/>
              <w:right w:val="single" w:sz="4" w:space="0" w:color="auto"/>
            </w:tcBorders>
            <w:hideMark/>
          </w:tcPr>
          <w:p w14:paraId="04DA5600" w14:textId="77777777" w:rsidR="00270FBF" w:rsidRPr="00E92C22" w:rsidRDefault="00270FBF" w:rsidP="00270FBF">
            <w:pPr>
              <w:rPr>
                <w:rFonts w:ascii="Calibri" w:hAnsi="Calibri" w:cs="Calibri"/>
              </w:rPr>
            </w:pPr>
            <w:r w:rsidRPr="00E92C22">
              <w:rPr>
                <w:rFonts w:ascii="Calibri" w:hAnsi="Calibri" w:cs="Calibri"/>
              </w:rPr>
              <w:t>Chowta MN, Chowta NK (2006). Hypothyroidism caused by thalidomide. Indian J Med Sci, 60(10): 424-6.</w:t>
            </w:r>
          </w:p>
        </w:tc>
      </w:tr>
      <w:tr w:rsidR="00270FBF" w14:paraId="30F09E8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B17540D" w14:textId="77777777" w:rsidR="00270FBF" w:rsidRPr="00E92C22" w:rsidRDefault="00270FBF" w:rsidP="00270FBF">
            <w:pPr>
              <w:jc w:val="center"/>
              <w:rPr>
                <w:rFonts w:ascii="Calibri" w:hAnsi="Calibri" w:cs="Calibri"/>
              </w:rPr>
            </w:pPr>
            <w:r w:rsidRPr="00E92C22">
              <w:rPr>
                <w:rFonts w:ascii="Calibri" w:hAnsi="Calibri" w:cs="Calibri"/>
              </w:rPr>
              <w:t>102787</w:t>
            </w:r>
          </w:p>
        </w:tc>
        <w:tc>
          <w:tcPr>
            <w:tcW w:w="7371" w:type="dxa"/>
            <w:tcBorders>
              <w:top w:val="single" w:sz="4" w:space="0" w:color="auto"/>
              <w:left w:val="single" w:sz="4" w:space="0" w:color="auto"/>
              <w:bottom w:val="single" w:sz="4" w:space="0" w:color="auto"/>
              <w:right w:val="single" w:sz="4" w:space="0" w:color="auto"/>
            </w:tcBorders>
            <w:hideMark/>
          </w:tcPr>
          <w:p w14:paraId="490070B5" w14:textId="77777777" w:rsidR="00270FBF" w:rsidRPr="00E92C22" w:rsidRDefault="00270FBF" w:rsidP="00270FBF">
            <w:pPr>
              <w:rPr>
                <w:rFonts w:ascii="Calibri" w:hAnsi="Calibri" w:cs="Calibri"/>
              </w:rPr>
            </w:pPr>
            <w:r w:rsidRPr="00E92C22">
              <w:rPr>
                <w:rFonts w:ascii="Calibri" w:hAnsi="Calibri" w:cs="Calibri"/>
              </w:rPr>
              <w:t xml:space="preserve">Colunga </w:t>
            </w:r>
            <w:proofErr w:type="spellStart"/>
            <w:r w:rsidRPr="00E92C22">
              <w:rPr>
                <w:rFonts w:ascii="Calibri" w:hAnsi="Calibri" w:cs="Calibri"/>
              </w:rPr>
              <w:t>Biancatelli</w:t>
            </w:r>
            <w:proofErr w:type="spellEnd"/>
            <w:r w:rsidRPr="00E92C22">
              <w:rPr>
                <w:rFonts w:ascii="Calibri" w:hAnsi="Calibri" w:cs="Calibri"/>
              </w:rPr>
              <w:t xml:space="preserve"> RM, </w:t>
            </w:r>
            <w:proofErr w:type="spellStart"/>
            <w:r w:rsidRPr="00E92C22">
              <w:rPr>
                <w:rFonts w:ascii="Calibri" w:hAnsi="Calibri" w:cs="Calibri"/>
              </w:rPr>
              <w:t>Congedo</w:t>
            </w:r>
            <w:proofErr w:type="spellEnd"/>
            <w:r w:rsidRPr="00E92C22">
              <w:rPr>
                <w:rFonts w:ascii="Calibri" w:hAnsi="Calibri" w:cs="Calibri"/>
              </w:rPr>
              <w:t xml:space="preserve"> V, </w:t>
            </w:r>
            <w:proofErr w:type="spellStart"/>
            <w:r w:rsidRPr="00E92C22">
              <w:rPr>
                <w:rFonts w:ascii="Calibri" w:hAnsi="Calibri" w:cs="Calibri"/>
              </w:rPr>
              <w:t>Calvosa</w:t>
            </w:r>
            <w:proofErr w:type="spellEnd"/>
            <w:r w:rsidRPr="00E92C22">
              <w:rPr>
                <w:rFonts w:ascii="Calibri" w:hAnsi="Calibri" w:cs="Calibri"/>
              </w:rPr>
              <w:t xml:space="preserve"> L, et al (2019). Adverse reactions of Amiodarone. J </w:t>
            </w:r>
            <w:proofErr w:type="spellStart"/>
            <w:r w:rsidRPr="00E92C22">
              <w:rPr>
                <w:rFonts w:ascii="Calibri" w:hAnsi="Calibri" w:cs="Calibri"/>
              </w:rPr>
              <w:t>Geriatr</w:t>
            </w:r>
            <w:proofErr w:type="spellEnd"/>
            <w:r w:rsidRPr="00E92C22">
              <w:rPr>
                <w:rFonts w:ascii="Calibri" w:hAnsi="Calibri" w:cs="Calibri"/>
              </w:rPr>
              <w:t xml:space="preserve"> </w:t>
            </w:r>
            <w:proofErr w:type="spellStart"/>
            <w:r w:rsidRPr="00E92C22">
              <w:rPr>
                <w:rFonts w:ascii="Calibri" w:hAnsi="Calibri" w:cs="Calibri"/>
              </w:rPr>
              <w:t>Cardiol</w:t>
            </w:r>
            <w:proofErr w:type="spellEnd"/>
            <w:r w:rsidRPr="00E92C22">
              <w:rPr>
                <w:rFonts w:ascii="Calibri" w:hAnsi="Calibri" w:cs="Calibri"/>
              </w:rPr>
              <w:t>, 16(7): 552-66.</w:t>
            </w:r>
          </w:p>
        </w:tc>
      </w:tr>
      <w:tr w:rsidR="00270FBF" w14:paraId="4F88ED8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9FD9109" w14:textId="77777777" w:rsidR="00270FBF" w:rsidRPr="00E92C22" w:rsidRDefault="00270FBF" w:rsidP="00270FBF">
            <w:pPr>
              <w:jc w:val="center"/>
              <w:rPr>
                <w:rFonts w:ascii="Calibri" w:hAnsi="Calibri" w:cs="Calibri"/>
              </w:rPr>
            </w:pPr>
            <w:r w:rsidRPr="00E92C22">
              <w:rPr>
                <w:rFonts w:ascii="Calibri" w:hAnsi="Calibri" w:cs="Calibri"/>
              </w:rPr>
              <w:lastRenderedPageBreak/>
              <w:t>65346</w:t>
            </w:r>
          </w:p>
        </w:tc>
        <w:tc>
          <w:tcPr>
            <w:tcW w:w="7371" w:type="dxa"/>
            <w:tcBorders>
              <w:top w:val="single" w:sz="4" w:space="0" w:color="auto"/>
              <w:left w:val="single" w:sz="4" w:space="0" w:color="auto"/>
              <w:bottom w:val="single" w:sz="4" w:space="0" w:color="auto"/>
              <w:right w:val="single" w:sz="4" w:space="0" w:color="auto"/>
            </w:tcBorders>
            <w:hideMark/>
          </w:tcPr>
          <w:p w14:paraId="2FB1B567" w14:textId="77777777" w:rsidR="00270FBF" w:rsidRPr="00E92C22" w:rsidRDefault="00270FBF" w:rsidP="00270FBF">
            <w:pPr>
              <w:rPr>
                <w:rFonts w:ascii="Calibri" w:hAnsi="Calibri" w:cs="Calibri"/>
              </w:rPr>
            </w:pPr>
            <w:r w:rsidRPr="00E92C22">
              <w:rPr>
                <w:rFonts w:ascii="Calibri" w:hAnsi="Calibri" w:cs="Calibri"/>
              </w:rPr>
              <w:t xml:space="preserve">Crofton KM (2008). Thyroid disrupting chemicals: mechanisms and mixtures. Int J </w:t>
            </w:r>
            <w:proofErr w:type="spellStart"/>
            <w:r w:rsidRPr="00E92C22">
              <w:rPr>
                <w:rFonts w:ascii="Calibri" w:hAnsi="Calibri" w:cs="Calibri"/>
              </w:rPr>
              <w:t>Androl</w:t>
            </w:r>
            <w:proofErr w:type="spellEnd"/>
            <w:r w:rsidRPr="00E92C22">
              <w:rPr>
                <w:rFonts w:ascii="Calibri" w:hAnsi="Calibri" w:cs="Calibri"/>
              </w:rPr>
              <w:t>, 31(2): 209-23.</w:t>
            </w:r>
          </w:p>
        </w:tc>
      </w:tr>
      <w:tr w:rsidR="00270FBF" w14:paraId="1118013C"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30E692E" w14:textId="77777777" w:rsidR="00270FBF" w:rsidRPr="00E92C22" w:rsidRDefault="00270FBF" w:rsidP="00270FBF">
            <w:pPr>
              <w:jc w:val="center"/>
              <w:rPr>
                <w:rFonts w:ascii="Calibri" w:hAnsi="Calibri" w:cs="Calibri"/>
              </w:rPr>
            </w:pPr>
            <w:r w:rsidRPr="00E92C22">
              <w:rPr>
                <w:rFonts w:ascii="Calibri" w:hAnsi="Calibri" w:cs="Calibri"/>
              </w:rPr>
              <w:t>65548</w:t>
            </w:r>
          </w:p>
        </w:tc>
        <w:tc>
          <w:tcPr>
            <w:tcW w:w="7371" w:type="dxa"/>
            <w:tcBorders>
              <w:top w:val="single" w:sz="4" w:space="0" w:color="auto"/>
              <w:left w:val="single" w:sz="4" w:space="0" w:color="auto"/>
              <w:bottom w:val="single" w:sz="4" w:space="0" w:color="auto"/>
              <w:right w:val="single" w:sz="4" w:space="0" w:color="auto"/>
            </w:tcBorders>
            <w:hideMark/>
          </w:tcPr>
          <w:p w14:paraId="6AE5E891" w14:textId="77777777" w:rsidR="00270FBF" w:rsidRPr="00E92C22" w:rsidRDefault="00270FBF" w:rsidP="00270FBF">
            <w:pPr>
              <w:rPr>
                <w:rFonts w:ascii="Calibri" w:hAnsi="Calibri" w:cs="Calibri"/>
              </w:rPr>
            </w:pPr>
            <w:proofErr w:type="spellStart"/>
            <w:r w:rsidRPr="00E92C22">
              <w:rPr>
                <w:rFonts w:ascii="Calibri" w:hAnsi="Calibri" w:cs="Calibri"/>
              </w:rPr>
              <w:t>Czarnywojtek</w:t>
            </w:r>
            <w:proofErr w:type="spellEnd"/>
            <w:r w:rsidRPr="00E92C22">
              <w:rPr>
                <w:rFonts w:ascii="Calibri" w:hAnsi="Calibri" w:cs="Calibri"/>
              </w:rPr>
              <w:t xml:space="preserve"> A, </w:t>
            </w:r>
            <w:proofErr w:type="spellStart"/>
            <w:r w:rsidRPr="00E92C22">
              <w:rPr>
                <w:rFonts w:ascii="Calibri" w:hAnsi="Calibri" w:cs="Calibri"/>
              </w:rPr>
              <w:t>Kurdybacha</w:t>
            </w:r>
            <w:proofErr w:type="spellEnd"/>
            <w:r w:rsidRPr="00E92C22">
              <w:rPr>
                <w:rFonts w:ascii="Calibri" w:hAnsi="Calibri" w:cs="Calibri"/>
              </w:rPr>
              <w:t xml:space="preserve"> P, Florek E, et al (2010). Smoking and thyroid diseases--what is new? </w:t>
            </w:r>
            <w:proofErr w:type="spellStart"/>
            <w:r w:rsidRPr="00E92C22">
              <w:rPr>
                <w:rFonts w:ascii="Calibri" w:hAnsi="Calibri" w:cs="Calibri"/>
              </w:rPr>
              <w:t>Przegl</w:t>
            </w:r>
            <w:proofErr w:type="spellEnd"/>
            <w:r w:rsidRPr="00E92C22">
              <w:rPr>
                <w:rFonts w:ascii="Calibri" w:hAnsi="Calibri" w:cs="Calibri"/>
              </w:rPr>
              <w:t xml:space="preserve"> Lek, 67(10): 1056-60.</w:t>
            </w:r>
          </w:p>
        </w:tc>
      </w:tr>
      <w:tr w:rsidR="00270FBF" w14:paraId="7F0F976C"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0F40654" w14:textId="77777777" w:rsidR="00270FBF" w:rsidRPr="00E92C22" w:rsidRDefault="00270FBF" w:rsidP="00270FBF">
            <w:pPr>
              <w:jc w:val="center"/>
              <w:rPr>
                <w:rFonts w:ascii="Calibri" w:hAnsi="Calibri" w:cs="Calibri"/>
              </w:rPr>
            </w:pPr>
            <w:r w:rsidRPr="00E92C22">
              <w:rPr>
                <w:rFonts w:ascii="Calibri" w:hAnsi="Calibri" w:cs="Calibri"/>
              </w:rPr>
              <w:t>65549</w:t>
            </w:r>
          </w:p>
        </w:tc>
        <w:tc>
          <w:tcPr>
            <w:tcW w:w="7371" w:type="dxa"/>
            <w:tcBorders>
              <w:top w:val="single" w:sz="4" w:space="0" w:color="auto"/>
              <w:left w:val="single" w:sz="4" w:space="0" w:color="auto"/>
              <w:bottom w:val="single" w:sz="4" w:space="0" w:color="auto"/>
              <w:right w:val="single" w:sz="4" w:space="0" w:color="auto"/>
            </w:tcBorders>
            <w:hideMark/>
          </w:tcPr>
          <w:p w14:paraId="0CA3B2D0" w14:textId="77777777" w:rsidR="00270FBF" w:rsidRPr="00E92C22" w:rsidRDefault="00270FBF" w:rsidP="00270FBF">
            <w:pPr>
              <w:rPr>
                <w:rFonts w:ascii="Calibri" w:hAnsi="Calibri" w:cs="Calibri"/>
              </w:rPr>
            </w:pPr>
            <w:proofErr w:type="spellStart"/>
            <w:r w:rsidRPr="00E92C22">
              <w:rPr>
                <w:rFonts w:ascii="Calibri" w:hAnsi="Calibri" w:cs="Calibri"/>
              </w:rPr>
              <w:t>Czarnywojtek</w:t>
            </w:r>
            <w:proofErr w:type="spellEnd"/>
            <w:r w:rsidRPr="00E92C22">
              <w:rPr>
                <w:rFonts w:ascii="Calibri" w:hAnsi="Calibri" w:cs="Calibri"/>
              </w:rPr>
              <w:t xml:space="preserve"> A, </w:t>
            </w:r>
            <w:proofErr w:type="spellStart"/>
            <w:r w:rsidRPr="00E92C22">
              <w:rPr>
                <w:rFonts w:ascii="Calibri" w:hAnsi="Calibri" w:cs="Calibri"/>
              </w:rPr>
              <w:t>Warmuz-Stangierska</w:t>
            </w:r>
            <w:proofErr w:type="spellEnd"/>
            <w:r w:rsidRPr="00E92C22">
              <w:rPr>
                <w:rFonts w:ascii="Calibri" w:hAnsi="Calibri" w:cs="Calibri"/>
              </w:rPr>
              <w:t xml:space="preserve"> I, Zdanowska J, et al (2009). Smoking and thyroid disease--review of literature. </w:t>
            </w:r>
            <w:proofErr w:type="spellStart"/>
            <w:r w:rsidRPr="00E92C22">
              <w:rPr>
                <w:rFonts w:ascii="Calibri" w:hAnsi="Calibri" w:cs="Calibri"/>
              </w:rPr>
              <w:t>Przegl</w:t>
            </w:r>
            <w:proofErr w:type="spellEnd"/>
            <w:r w:rsidRPr="00E92C22">
              <w:rPr>
                <w:rFonts w:ascii="Calibri" w:hAnsi="Calibri" w:cs="Calibri"/>
              </w:rPr>
              <w:t xml:space="preserve"> Lek, 66(10): 878-81.</w:t>
            </w:r>
          </w:p>
        </w:tc>
      </w:tr>
      <w:tr w:rsidR="00270FBF" w14:paraId="590A9F7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430FD7A" w14:textId="77777777" w:rsidR="00270FBF" w:rsidRPr="00E92C22" w:rsidRDefault="00270FBF" w:rsidP="00270FBF">
            <w:pPr>
              <w:jc w:val="center"/>
              <w:rPr>
                <w:rFonts w:ascii="Calibri" w:hAnsi="Calibri" w:cs="Calibri"/>
              </w:rPr>
            </w:pPr>
            <w:r w:rsidRPr="00E92C22">
              <w:rPr>
                <w:rFonts w:ascii="Calibri" w:hAnsi="Calibri" w:cs="Calibri"/>
              </w:rPr>
              <w:t>67007</w:t>
            </w:r>
          </w:p>
        </w:tc>
        <w:tc>
          <w:tcPr>
            <w:tcW w:w="7371" w:type="dxa"/>
            <w:tcBorders>
              <w:top w:val="single" w:sz="4" w:space="0" w:color="auto"/>
              <w:left w:val="single" w:sz="4" w:space="0" w:color="auto"/>
              <w:bottom w:val="single" w:sz="4" w:space="0" w:color="auto"/>
              <w:right w:val="single" w:sz="4" w:space="0" w:color="auto"/>
            </w:tcBorders>
            <w:hideMark/>
          </w:tcPr>
          <w:p w14:paraId="3678F2E2" w14:textId="77777777" w:rsidR="00270FBF" w:rsidRPr="00E92C22" w:rsidRDefault="00270FBF" w:rsidP="00270FBF">
            <w:pPr>
              <w:rPr>
                <w:rFonts w:ascii="Calibri" w:hAnsi="Calibri" w:cs="Calibri"/>
              </w:rPr>
            </w:pPr>
            <w:r w:rsidRPr="00E92C22">
              <w:rPr>
                <w:rFonts w:ascii="Calibri" w:hAnsi="Calibri" w:cs="Calibri"/>
              </w:rPr>
              <w:t xml:space="preserve">Dallaire R, </w:t>
            </w:r>
            <w:proofErr w:type="spellStart"/>
            <w:r w:rsidRPr="00E92C22">
              <w:rPr>
                <w:rFonts w:ascii="Calibri" w:hAnsi="Calibri" w:cs="Calibri"/>
              </w:rPr>
              <w:t>Dewailly</w:t>
            </w:r>
            <w:proofErr w:type="spellEnd"/>
            <w:r w:rsidRPr="00E92C22">
              <w:rPr>
                <w:rFonts w:ascii="Calibri" w:hAnsi="Calibri" w:cs="Calibri"/>
              </w:rPr>
              <w:t xml:space="preserve"> E, Pereg D, et al (2009). Thyroid function and plasma concentrations of polyhalogenated compounds in Inuit adults. Environ Health </w:t>
            </w:r>
            <w:proofErr w:type="spellStart"/>
            <w:r w:rsidRPr="00E92C22">
              <w:rPr>
                <w:rFonts w:ascii="Calibri" w:hAnsi="Calibri" w:cs="Calibri"/>
              </w:rPr>
              <w:t>Perspect</w:t>
            </w:r>
            <w:proofErr w:type="spellEnd"/>
            <w:r w:rsidRPr="00E92C22">
              <w:rPr>
                <w:rFonts w:ascii="Calibri" w:hAnsi="Calibri" w:cs="Calibri"/>
              </w:rPr>
              <w:t>, 117(9): 1380-6.</w:t>
            </w:r>
          </w:p>
        </w:tc>
      </w:tr>
      <w:tr w:rsidR="00270FBF" w14:paraId="3AB3569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794907F" w14:textId="77777777" w:rsidR="00270FBF" w:rsidRPr="00E92C22" w:rsidRDefault="00270FBF" w:rsidP="00270FBF">
            <w:pPr>
              <w:jc w:val="center"/>
              <w:rPr>
                <w:rFonts w:ascii="Calibri" w:hAnsi="Calibri" w:cs="Calibri"/>
              </w:rPr>
            </w:pPr>
            <w:r w:rsidRPr="00E92C22">
              <w:rPr>
                <w:rFonts w:ascii="Calibri" w:hAnsi="Calibri" w:cs="Calibri"/>
              </w:rPr>
              <w:t>66965</w:t>
            </w:r>
          </w:p>
        </w:tc>
        <w:tc>
          <w:tcPr>
            <w:tcW w:w="7371" w:type="dxa"/>
            <w:tcBorders>
              <w:top w:val="single" w:sz="4" w:space="0" w:color="auto"/>
              <w:left w:val="single" w:sz="4" w:space="0" w:color="auto"/>
              <w:bottom w:val="single" w:sz="4" w:space="0" w:color="auto"/>
              <w:right w:val="single" w:sz="4" w:space="0" w:color="auto"/>
            </w:tcBorders>
            <w:hideMark/>
          </w:tcPr>
          <w:p w14:paraId="6977F9B4" w14:textId="77777777" w:rsidR="00270FBF" w:rsidRPr="00E92C22" w:rsidRDefault="00270FBF" w:rsidP="00270FBF">
            <w:pPr>
              <w:rPr>
                <w:rFonts w:ascii="Calibri" w:hAnsi="Calibri" w:cs="Calibri"/>
              </w:rPr>
            </w:pPr>
            <w:r w:rsidRPr="00E92C22">
              <w:rPr>
                <w:rFonts w:ascii="Calibri" w:hAnsi="Calibri" w:cs="Calibri"/>
              </w:rPr>
              <w:t>Danilovic DL, Mendes-Correa MC, Chammas MC, et al (2011). Thyroid hormonal disturbances related to treatment of hepatitis C with interferon-alpha and ribavirin. Clinics (Sao Paulo), 66(10): 1757-63.</w:t>
            </w:r>
          </w:p>
        </w:tc>
      </w:tr>
      <w:tr w:rsidR="00270FBF" w14:paraId="51F8E3A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D0EB847" w14:textId="77777777" w:rsidR="00270FBF" w:rsidRPr="00E92C22" w:rsidRDefault="00270FBF" w:rsidP="00270FBF">
            <w:pPr>
              <w:jc w:val="center"/>
              <w:rPr>
                <w:rFonts w:ascii="Calibri" w:hAnsi="Calibri" w:cs="Calibri"/>
              </w:rPr>
            </w:pPr>
            <w:r w:rsidRPr="00E92C22">
              <w:rPr>
                <w:rFonts w:ascii="Calibri" w:hAnsi="Calibri" w:cs="Calibri"/>
              </w:rPr>
              <w:t>65646</w:t>
            </w:r>
          </w:p>
        </w:tc>
        <w:tc>
          <w:tcPr>
            <w:tcW w:w="7371" w:type="dxa"/>
            <w:tcBorders>
              <w:top w:val="single" w:sz="4" w:space="0" w:color="auto"/>
              <w:left w:val="single" w:sz="4" w:space="0" w:color="auto"/>
              <w:bottom w:val="single" w:sz="4" w:space="0" w:color="auto"/>
              <w:right w:val="single" w:sz="4" w:space="0" w:color="auto"/>
            </w:tcBorders>
            <w:hideMark/>
          </w:tcPr>
          <w:p w14:paraId="08C03D36" w14:textId="77777777" w:rsidR="00270FBF" w:rsidRPr="00E92C22" w:rsidRDefault="00270FBF" w:rsidP="00270FBF">
            <w:pPr>
              <w:rPr>
                <w:rFonts w:ascii="Calibri" w:hAnsi="Calibri" w:cs="Calibri"/>
              </w:rPr>
            </w:pPr>
            <w:r w:rsidRPr="00E92C22">
              <w:rPr>
                <w:rFonts w:ascii="Calibri" w:hAnsi="Calibri" w:cs="Calibri"/>
              </w:rPr>
              <w:t xml:space="preserve">Dardano A, </w:t>
            </w:r>
            <w:proofErr w:type="spellStart"/>
            <w:r w:rsidRPr="00E92C22">
              <w:rPr>
                <w:rFonts w:ascii="Calibri" w:hAnsi="Calibri" w:cs="Calibri"/>
              </w:rPr>
              <w:t>Bazzichi</w:t>
            </w:r>
            <w:proofErr w:type="spellEnd"/>
            <w:r w:rsidRPr="00E92C22">
              <w:rPr>
                <w:rFonts w:ascii="Calibri" w:hAnsi="Calibri" w:cs="Calibri"/>
              </w:rPr>
              <w:t xml:space="preserve"> L, Bombardieri S, et al (2012). Symptoms in euthyroid Hashimoto's thyroiditis: is there a role for autoimmunity itself? Thyroid, 22(3): 334-5.</w:t>
            </w:r>
          </w:p>
        </w:tc>
      </w:tr>
      <w:tr w:rsidR="00270FBF" w14:paraId="6C3C23A9"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4438AB6" w14:textId="77777777" w:rsidR="00270FBF" w:rsidRPr="00E92C22" w:rsidRDefault="00270FBF" w:rsidP="00270FBF">
            <w:pPr>
              <w:jc w:val="center"/>
              <w:rPr>
                <w:rFonts w:ascii="Calibri" w:hAnsi="Calibri" w:cs="Calibri"/>
              </w:rPr>
            </w:pPr>
            <w:r w:rsidRPr="00E92C22">
              <w:rPr>
                <w:rFonts w:ascii="Calibri" w:hAnsi="Calibri" w:cs="Calibri"/>
              </w:rPr>
              <w:t>102788</w:t>
            </w:r>
          </w:p>
        </w:tc>
        <w:tc>
          <w:tcPr>
            <w:tcW w:w="7371" w:type="dxa"/>
            <w:tcBorders>
              <w:top w:val="single" w:sz="4" w:space="0" w:color="auto"/>
              <w:left w:val="single" w:sz="4" w:space="0" w:color="auto"/>
              <w:bottom w:val="single" w:sz="4" w:space="0" w:color="auto"/>
              <w:right w:val="single" w:sz="4" w:space="0" w:color="auto"/>
            </w:tcBorders>
            <w:hideMark/>
          </w:tcPr>
          <w:p w14:paraId="3E2D55AA" w14:textId="77777777" w:rsidR="00270FBF" w:rsidRPr="00E92C22" w:rsidRDefault="00270FBF" w:rsidP="00270FBF">
            <w:pPr>
              <w:rPr>
                <w:rFonts w:ascii="Calibri" w:hAnsi="Calibri" w:cs="Calibri"/>
              </w:rPr>
            </w:pPr>
            <w:r w:rsidRPr="00E92C22">
              <w:rPr>
                <w:rFonts w:ascii="Calibri" w:hAnsi="Calibri" w:cs="Calibri"/>
              </w:rPr>
              <w:t>Davies TF (2020). Pathogenesis of Hashimoto's thyroiditis (chronic autoimmune thyroiditis). Retrieved 21 October 2021, from https://www.uptodate.com/contents/pathogenesis-of-hashimotos-thyroiditis-chronic-autoimmune-thyroiditis</w:t>
            </w:r>
          </w:p>
        </w:tc>
      </w:tr>
      <w:tr w:rsidR="00270FBF" w14:paraId="192DFCC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A31007B" w14:textId="77777777" w:rsidR="00270FBF" w:rsidRPr="00E92C22" w:rsidRDefault="00270FBF" w:rsidP="00270FBF">
            <w:pPr>
              <w:jc w:val="center"/>
              <w:rPr>
                <w:rFonts w:ascii="Calibri" w:hAnsi="Calibri" w:cs="Calibri"/>
              </w:rPr>
            </w:pPr>
            <w:r w:rsidRPr="00E92C22">
              <w:rPr>
                <w:rFonts w:ascii="Calibri" w:hAnsi="Calibri" w:cs="Calibri"/>
              </w:rPr>
              <w:t>65364</w:t>
            </w:r>
          </w:p>
        </w:tc>
        <w:tc>
          <w:tcPr>
            <w:tcW w:w="7371" w:type="dxa"/>
            <w:tcBorders>
              <w:top w:val="single" w:sz="4" w:space="0" w:color="auto"/>
              <w:left w:val="single" w:sz="4" w:space="0" w:color="auto"/>
              <w:bottom w:val="single" w:sz="4" w:space="0" w:color="auto"/>
              <w:right w:val="single" w:sz="4" w:space="0" w:color="auto"/>
            </w:tcBorders>
            <w:hideMark/>
          </w:tcPr>
          <w:p w14:paraId="24EC52B7" w14:textId="77777777" w:rsidR="00270FBF" w:rsidRPr="00E92C22" w:rsidRDefault="00270FBF" w:rsidP="00270FBF">
            <w:pPr>
              <w:rPr>
                <w:rFonts w:ascii="Calibri" w:hAnsi="Calibri" w:cs="Calibri"/>
              </w:rPr>
            </w:pPr>
            <w:r w:rsidRPr="00E92C22">
              <w:rPr>
                <w:rFonts w:ascii="Calibri" w:hAnsi="Calibri" w:cs="Calibri"/>
              </w:rPr>
              <w:t>de Freitas CU, Grimaldi Campos RA, Rodrigues Silva MA, et al (2010). Can living in the surroundings of a petrochemical complex be a risk factor for autoimmune thyroid disease? Environ Res, 110(1): 112-7.</w:t>
            </w:r>
          </w:p>
        </w:tc>
      </w:tr>
      <w:tr w:rsidR="00270FBF" w14:paraId="3F9BD84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446AD38" w14:textId="77777777" w:rsidR="00270FBF" w:rsidRPr="00E92C22" w:rsidRDefault="00270FBF" w:rsidP="00270FBF">
            <w:pPr>
              <w:jc w:val="center"/>
              <w:rPr>
                <w:rFonts w:ascii="Calibri" w:hAnsi="Calibri" w:cs="Calibri"/>
              </w:rPr>
            </w:pPr>
            <w:r w:rsidRPr="00E92C22">
              <w:rPr>
                <w:rFonts w:ascii="Calibri" w:hAnsi="Calibri" w:cs="Calibri"/>
              </w:rPr>
              <w:t>80738</w:t>
            </w:r>
          </w:p>
        </w:tc>
        <w:tc>
          <w:tcPr>
            <w:tcW w:w="7371" w:type="dxa"/>
            <w:tcBorders>
              <w:top w:val="single" w:sz="4" w:space="0" w:color="auto"/>
              <w:left w:val="single" w:sz="4" w:space="0" w:color="auto"/>
              <w:bottom w:val="single" w:sz="4" w:space="0" w:color="auto"/>
              <w:right w:val="single" w:sz="4" w:space="0" w:color="auto"/>
            </w:tcBorders>
            <w:hideMark/>
          </w:tcPr>
          <w:p w14:paraId="766FF1CA" w14:textId="77777777" w:rsidR="00270FBF" w:rsidRPr="00E92C22" w:rsidRDefault="00270FBF" w:rsidP="00270FBF">
            <w:pPr>
              <w:rPr>
                <w:rFonts w:ascii="Calibri" w:hAnsi="Calibri" w:cs="Calibri"/>
              </w:rPr>
            </w:pPr>
            <w:r w:rsidRPr="00E92C22">
              <w:rPr>
                <w:rFonts w:ascii="Calibri" w:hAnsi="Calibri" w:cs="Calibri"/>
              </w:rPr>
              <w:t>Decision Support Unit (DSU) (2006). Atomic radiation. SOP Bulletin 106.</w:t>
            </w:r>
          </w:p>
        </w:tc>
      </w:tr>
      <w:tr w:rsidR="00270FBF" w14:paraId="534DC1D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8C50C69" w14:textId="77777777" w:rsidR="00270FBF" w:rsidRPr="00E92C22" w:rsidRDefault="00270FBF" w:rsidP="00270FBF">
            <w:pPr>
              <w:jc w:val="center"/>
              <w:rPr>
                <w:rFonts w:ascii="Calibri" w:hAnsi="Calibri" w:cs="Calibri"/>
              </w:rPr>
            </w:pPr>
            <w:r w:rsidRPr="00E92C22">
              <w:rPr>
                <w:rFonts w:ascii="Calibri" w:hAnsi="Calibri" w:cs="Calibri"/>
              </w:rPr>
              <w:t>80739</w:t>
            </w:r>
          </w:p>
        </w:tc>
        <w:tc>
          <w:tcPr>
            <w:tcW w:w="7371" w:type="dxa"/>
            <w:tcBorders>
              <w:top w:val="single" w:sz="4" w:space="0" w:color="auto"/>
              <w:left w:val="single" w:sz="4" w:space="0" w:color="auto"/>
              <w:bottom w:val="single" w:sz="4" w:space="0" w:color="auto"/>
              <w:right w:val="single" w:sz="4" w:space="0" w:color="auto"/>
            </w:tcBorders>
            <w:hideMark/>
          </w:tcPr>
          <w:p w14:paraId="1A79F236" w14:textId="77777777" w:rsidR="00270FBF" w:rsidRPr="00E92C22" w:rsidRDefault="00270FBF" w:rsidP="00270FBF">
            <w:pPr>
              <w:rPr>
                <w:rFonts w:ascii="Calibri" w:hAnsi="Calibri" w:cs="Calibri"/>
              </w:rPr>
            </w:pPr>
            <w:r w:rsidRPr="00E92C22">
              <w:rPr>
                <w:rFonts w:ascii="Calibri" w:hAnsi="Calibri" w:cs="Calibri"/>
              </w:rPr>
              <w:t>Decision Support Unit (DSU) (2010). Atomic radiation - update. SOP Bulletin 145.</w:t>
            </w:r>
          </w:p>
        </w:tc>
      </w:tr>
      <w:tr w:rsidR="00270FBF" w14:paraId="3FA1C78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911D567" w14:textId="77777777" w:rsidR="00270FBF" w:rsidRPr="00E92C22" w:rsidRDefault="00270FBF" w:rsidP="00270FBF">
            <w:pPr>
              <w:jc w:val="center"/>
              <w:rPr>
                <w:rFonts w:ascii="Calibri" w:hAnsi="Calibri" w:cs="Calibri"/>
              </w:rPr>
            </w:pPr>
            <w:r w:rsidRPr="00E92C22">
              <w:rPr>
                <w:rFonts w:ascii="Calibri" w:hAnsi="Calibri" w:cs="Calibri"/>
              </w:rPr>
              <w:t>80743</w:t>
            </w:r>
          </w:p>
        </w:tc>
        <w:tc>
          <w:tcPr>
            <w:tcW w:w="7371" w:type="dxa"/>
            <w:tcBorders>
              <w:top w:val="single" w:sz="4" w:space="0" w:color="auto"/>
              <w:left w:val="single" w:sz="4" w:space="0" w:color="auto"/>
              <w:bottom w:val="single" w:sz="4" w:space="0" w:color="auto"/>
              <w:right w:val="single" w:sz="4" w:space="0" w:color="auto"/>
            </w:tcBorders>
            <w:hideMark/>
          </w:tcPr>
          <w:p w14:paraId="6C34C621" w14:textId="77777777" w:rsidR="00270FBF" w:rsidRPr="00E92C22" w:rsidRDefault="00270FBF" w:rsidP="00270FBF">
            <w:pPr>
              <w:rPr>
                <w:rFonts w:ascii="Calibri" w:hAnsi="Calibri" w:cs="Calibri"/>
              </w:rPr>
            </w:pPr>
            <w:r w:rsidRPr="00E92C22">
              <w:rPr>
                <w:rFonts w:ascii="Calibri" w:hAnsi="Calibri" w:cs="Calibri"/>
              </w:rPr>
              <w:t xml:space="preserve">Defence Threat Reduction Agency (2010). Standard Method: ID01 - Doses to Organs </w:t>
            </w:r>
            <w:proofErr w:type="gramStart"/>
            <w:r w:rsidRPr="00E92C22">
              <w:rPr>
                <w:rFonts w:ascii="Calibri" w:hAnsi="Calibri" w:cs="Calibri"/>
              </w:rPr>
              <w:t>From</w:t>
            </w:r>
            <w:proofErr w:type="gramEnd"/>
            <w:r w:rsidRPr="00E92C22">
              <w:rPr>
                <w:rFonts w:ascii="Calibri" w:hAnsi="Calibri" w:cs="Calibri"/>
              </w:rPr>
              <w:t xml:space="preserve"> Intake of Radioactive Materials. DTRA/NTPR - Standard Operating Procedures Manual, Revision 1.3a.</w:t>
            </w:r>
          </w:p>
        </w:tc>
      </w:tr>
      <w:tr w:rsidR="00270FBF" w14:paraId="3F59A5A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C70D42C" w14:textId="77777777" w:rsidR="00270FBF" w:rsidRPr="00E92C22" w:rsidRDefault="00270FBF" w:rsidP="00270FBF">
            <w:pPr>
              <w:jc w:val="center"/>
              <w:rPr>
                <w:rFonts w:ascii="Calibri" w:hAnsi="Calibri" w:cs="Calibri"/>
              </w:rPr>
            </w:pPr>
            <w:r w:rsidRPr="00E92C22">
              <w:rPr>
                <w:rFonts w:ascii="Calibri" w:hAnsi="Calibri" w:cs="Calibri"/>
              </w:rPr>
              <w:t>64569</w:t>
            </w:r>
          </w:p>
        </w:tc>
        <w:tc>
          <w:tcPr>
            <w:tcW w:w="7371" w:type="dxa"/>
            <w:tcBorders>
              <w:top w:val="single" w:sz="4" w:space="0" w:color="auto"/>
              <w:left w:val="single" w:sz="4" w:space="0" w:color="auto"/>
              <w:bottom w:val="single" w:sz="4" w:space="0" w:color="auto"/>
              <w:right w:val="single" w:sz="4" w:space="0" w:color="auto"/>
            </w:tcBorders>
            <w:hideMark/>
          </w:tcPr>
          <w:p w14:paraId="4F886A0F" w14:textId="77777777" w:rsidR="00270FBF" w:rsidRPr="00E92C22" w:rsidRDefault="00270FBF" w:rsidP="00270FBF">
            <w:pPr>
              <w:rPr>
                <w:rFonts w:ascii="Calibri" w:hAnsi="Calibri" w:cs="Calibri"/>
              </w:rPr>
            </w:pPr>
            <w:r w:rsidRPr="006E1170">
              <w:rPr>
                <w:rFonts w:ascii="Calibri" w:hAnsi="Calibri" w:cs="Calibri"/>
                <w:lang w:val="de-DE"/>
              </w:rPr>
              <w:t xml:space="preserve">Desai J, Yassa L, Marqusee E, et al (2006). </w:t>
            </w:r>
            <w:r w:rsidRPr="00E92C22">
              <w:rPr>
                <w:rFonts w:ascii="Calibri" w:hAnsi="Calibri" w:cs="Calibri"/>
              </w:rPr>
              <w:t xml:space="preserve">Hypothyroidism after sunitinib treatment for patients with gastrointestinal stromal </w:t>
            </w:r>
            <w:proofErr w:type="spellStart"/>
            <w:r w:rsidRPr="00E92C22">
              <w:rPr>
                <w:rFonts w:ascii="Calibri" w:hAnsi="Calibri" w:cs="Calibri"/>
              </w:rPr>
              <w:t>tumors</w:t>
            </w:r>
            <w:proofErr w:type="spellEnd"/>
            <w:r w:rsidRPr="00E92C22">
              <w:rPr>
                <w:rFonts w:ascii="Calibri" w:hAnsi="Calibri" w:cs="Calibri"/>
              </w:rPr>
              <w:t>. Ann Intern Med, 145(9): 660-4.</w:t>
            </w:r>
          </w:p>
        </w:tc>
      </w:tr>
      <w:tr w:rsidR="00270FBF" w14:paraId="5160501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D33E5B5" w14:textId="77777777" w:rsidR="00270FBF" w:rsidRPr="00E92C22" w:rsidRDefault="00270FBF" w:rsidP="00270FBF">
            <w:pPr>
              <w:jc w:val="center"/>
              <w:rPr>
                <w:rFonts w:ascii="Calibri" w:hAnsi="Calibri" w:cs="Calibri"/>
              </w:rPr>
            </w:pPr>
            <w:r w:rsidRPr="00E92C22">
              <w:rPr>
                <w:rFonts w:ascii="Calibri" w:hAnsi="Calibri" w:cs="Calibri"/>
              </w:rPr>
              <w:t>66924</w:t>
            </w:r>
          </w:p>
        </w:tc>
        <w:tc>
          <w:tcPr>
            <w:tcW w:w="7371" w:type="dxa"/>
            <w:tcBorders>
              <w:top w:val="single" w:sz="4" w:space="0" w:color="auto"/>
              <w:left w:val="single" w:sz="4" w:space="0" w:color="auto"/>
              <w:bottom w:val="single" w:sz="4" w:space="0" w:color="auto"/>
              <w:right w:val="single" w:sz="4" w:space="0" w:color="auto"/>
            </w:tcBorders>
            <w:hideMark/>
          </w:tcPr>
          <w:p w14:paraId="7B0030E2" w14:textId="77777777" w:rsidR="00270FBF" w:rsidRPr="00E92C22" w:rsidRDefault="00270FBF" w:rsidP="00270FBF">
            <w:pPr>
              <w:rPr>
                <w:rFonts w:ascii="Calibri" w:hAnsi="Calibri" w:cs="Calibri"/>
              </w:rPr>
            </w:pPr>
            <w:proofErr w:type="spellStart"/>
            <w:r w:rsidRPr="00E92C22">
              <w:rPr>
                <w:rFonts w:ascii="Calibri" w:hAnsi="Calibri" w:cs="Calibri"/>
              </w:rPr>
              <w:t>Desailloud</w:t>
            </w:r>
            <w:proofErr w:type="spellEnd"/>
            <w:r w:rsidRPr="00E92C22">
              <w:rPr>
                <w:rFonts w:ascii="Calibri" w:hAnsi="Calibri" w:cs="Calibri"/>
              </w:rPr>
              <w:t xml:space="preserve"> R, Hober D (2009). Viruses and thyroiditis: an update. </w:t>
            </w:r>
            <w:proofErr w:type="spellStart"/>
            <w:r w:rsidRPr="00E92C22">
              <w:rPr>
                <w:rFonts w:ascii="Calibri" w:hAnsi="Calibri" w:cs="Calibri"/>
              </w:rPr>
              <w:t>Virol</w:t>
            </w:r>
            <w:proofErr w:type="spellEnd"/>
            <w:r w:rsidRPr="00E92C22">
              <w:rPr>
                <w:rFonts w:ascii="Calibri" w:hAnsi="Calibri" w:cs="Calibri"/>
              </w:rPr>
              <w:t xml:space="preserve"> J, 6: 5.</w:t>
            </w:r>
          </w:p>
        </w:tc>
      </w:tr>
      <w:tr w:rsidR="00270FBF" w14:paraId="19F3A20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6EDD4FA" w14:textId="77777777" w:rsidR="00270FBF" w:rsidRPr="00E92C22" w:rsidRDefault="00270FBF" w:rsidP="00270FBF">
            <w:pPr>
              <w:jc w:val="center"/>
              <w:rPr>
                <w:rFonts w:ascii="Calibri" w:hAnsi="Calibri" w:cs="Calibri"/>
              </w:rPr>
            </w:pPr>
            <w:r w:rsidRPr="00E92C22">
              <w:rPr>
                <w:rFonts w:ascii="Calibri" w:hAnsi="Calibri" w:cs="Calibri"/>
              </w:rPr>
              <w:t>65384</w:t>
            </w:r>
          </w:p>
        </w:tc>
        <w:tc>
          <w:tcPr>
            <w:tcW w:w="7371" w:type="dxa"/>
            <w:tcBorders>
              <w:top w:val="single" w:sz="4" w:space="0" w:color="auto"/>
              <w:left w:val="single" w:sz="4" w:space="0" w:color="auto"/>
              <w:bottom w:val="single" w:sz="4" w:space="0" w:color="auto"/>
              <w:right w:val="single" w:sz="4" w:space="0" w:color="auto"/>
            </w:tcBorders>
            <w:hideMark/>
          </w:tcPr>
          <w:p w14:paraId="1D106B5D" w14:textId="77777777" w:rsidR="00270FBF" w:rsidRPr="00E92C22" w:rsidRDefault="00270FBF" w:rsidP="00270FBF">
            <w:pPr>
              <w:rPr>
                <w:rFonts w:ascii="Calibri" w:hAnsi="Calibri" w:cs="Calibri"/>
              </w:rPr>
            </w:pPr>
            <w:r w:rsidRPr="006E1170">
              <w:rPr>
                <w:rFonts w:ascii="Calibri" w:hAnsi="Calibri" w:cs="Calibri"/>
                <w:lang w:val="de-DE"/>
              </w:rPr>
              <w:t xml:space="preserve">Dittmar M, Libich C, Brenzel T, et al (2011). </w:t>
            </w:r>
            <w:r w:rsidRPr="00E92C22">
              <w:rPr>
                <w:rFonts w:ascii="Calibri" w:hAnsi="Calibri" w:cs="Calibri"/>
              </w:rPr>
              <w:t xml:space="preserve">Increased familial clustering of autoimmune thyroid diseases. Horm </w:t>
            </w:r>
            <w:proofErr w:type="spellStart"/>
            <w:r w:rsidRPr="00E92C22">
              <w:rPr>
                <w:rFonts w:ascii="Calibri" w:hAnsi="Calibri" w:cs="Calibri"/>
              </w:rPr>
              <w:t>Metab</w:t>
            </w:r>
            <w:proofErr w:type="spellEnd"/>
            <w:r w:rsidRPr="00E92C22">
              <w:rPr>
                <w:rFonts w:ascii="Calibri" w:hAnsi="Calibri" w:cs="Calibri"/>
              </w:rPr>
              <w:t xml:space="preserve"> Res, 43(3): 200-4.</w:t>
            </w:r>
          </w:p>
        </w:tc>
      </w:tr>
      <w:tr w:rsidR="00270FBF" w14:paraId="0D50F4E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29BDF2E" w14:textId="77777777" w:rsidR="00270FBF" w:rsidRPr="00E92C22" w:rsidRDefault="00270FBF" w:rsidP="00270FBF">
            <w:pPr>
              <w:jc w:val="center"/>
              <w:rPr>
                <w:rFonts w:ascii="Calibri" w:hAnsi="Calibri" w:cs="Calibri"/>
              </w:rPr>
            </w:pPr>
            <w:r w:rsidRPr="00E92C22">
              <w:rPr>
                <w:rFonts w:ascii="Calibri" w:hAnsi="Calibri" w:cs="Calibri"/>
              </w:rPr>
              <w:t>102928</w:t>
            </w:r>
          </w:p>
        </w:tc>
        <w:tc>
          <w:tcPr>
            <w:tcW w:w="7371" w:type="dxa"/>
            <w:tcBorders>
              <w:top w:val="single" w:sz="4" w:space="0" w:color="auto"/>
              <w:left w:val="single" w:sz="4" w:space="0" w:color="auto"/>
              <w:bottom w:val="single" w:sz="4" w:space="0" w:color="auto"/>
              <w:right w:val="single" w:sz="4" w:space="0" w:color="auto"/>
            </w:tcBorders>
            <w:hideMark/>
          </w:tcPr>
          <w:p w14:paraId="20CDAC1F" w14:textId="77777777" w:rsidR="00270FBF" w:rsidRPr="00E92C22" w:rsidRDefault="00270FBF" w:rsidP="00270FBF">
            <w:pPr>
              <w:rPr>
                <w:rFonts w:ascii="Calibri" w:hAnsi="Calibri" w:cs="Calibri"/>
              </w:rPr>
            </w:pPr>
            <w:r w:rsidRPr="00E92C22">
              <w:rPr>
                <w:rFonts w:ascii="Calibri" w:hAnsi="Calibri" w:cs="Calibri"/>
              </w:rPr>
              <w:t xml:space="preserve">Dixit NM, Truong KP, Rabadia SV, et al (2020). Sudden cardiac arrest in a patient with </w:t>
            </w:r>
            <w:proofErr w:type="spellStart"/>
            <w:r w:rsidRPr="00E92C22">
              <w:rPr>
                <w:rFonts w:ascii="Calibri" w:hAnsi="Calibri" w:cs="Calibri"/>
              </w:rPr>
              <w:t>myxedema</w:t>
            </w:r>
            <w:proofErr w:type="spellEnd"/>
            <w:r w:rsidRPr="00E92C22">
              <w:rPr>
                <w:rFonts w:ascii="Calibri" w:hAnsi="Calibri" w:cs="Calibri"/>
              </w:rPr>
              <w:t xml:space="preserve"> coma and COVID-19. J </w:t>
            </w:r>
            <w:proofErr w:type="spellStart"/>
            <w:r w:rsidRPr="00E92C22">
              <w:rPr>
                <w:rFonts w:ascii="Calibri" w:hAnsi="Calibri" w:cs="Calibri"/>
              </w:rPr>
              <w:t>Endocr</w:t>
            </w:r>
            <w:proofErr w:type="spellEnd"/>
            <w:r w:rsidRPr="00E92C22">
              <w:rPr>
                <w:rFonts w:ascii="Calibri" w:hAnsi="Calibri" w:cs="Calibri"/>
              </w:rPr>
              <w:t xml:space="preserve"> Soc, 4(10): bvaa130.</w:t>
            </w:r>
          </w:p>
        </w:tc>
      </w:tr>
      <w:tr w:rsidR="00270FBF" w14:paraId="799E726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5CF50D9" w14:textId="77777777" w:rsidR="00270FBF" w:rsidRPr="00E92C22" w:rsidRDefault="00270FBF" w:rsidP="00270FBF">
            <w:pPr>
              <w:jc w:val="center"/>
              <w:rPr>
                <w:rFonts w:ascii="Calibri" w:hAnsi="Calibri" w:cs="Calibri"/>
              </w:rPr>
            </w:pPr>
            <w:r w:rsidRPr="00E92C22">
              <w:rPr>
                <w:rFonts w:ascii="Calibri" w:hAnsi="Calibri" w:cs="Calibri"/>
              </w:rPr>
              <w:t>65919</w:t>
            </w:r>
          </w:p>
        </w:tc>
        <w:tc>
          <w:tcPr>
            <w:tcW w:w="7371" w:type="dxa"/>
            <w:tcBorders>
              <w:top w:val="single" w:sz="4" w:space="0" w:color="auto"/>
              <w:left w:val="single" w:sz="4" w:space="0" w:color="auto"/>
              <w:bottom w:val="single" w:sz="4" w:space="0" w:color="auto"/>
              <w:right w:val="single" w:sz="4" w:space="0" w:color="auto"/>
            </w:tcBorders>
            <w:hideMark/>
          </w:tcPr>
          <w:p w14:paraId="2D5D915D" w14:textId="77777777" w:rsidR="00270FBF" w:rsidRPr="00E92C22" w:rsidRDefault="00270FBF" w:rsidP="00270FBF">
            <w:pPr>
              <w:rPr>
                <w:rFonts w:ascii="Calibri" w:hAnsi="Calibri" w:cs="Calibri"/>
              </w:rPr>
            </w:pPr>
            <w:r w:rsidRPr="00E92C22">
              <w:rPr>
                <w:rFonts w:ascii="Calibri" w:hAnsi="Calibri" w:cs="Calibri"/>
              </w:rPr>
              <w:t xml:space="preserve">Doerge DR, Sheehan DM (2002). Goitrogenic and estrogenic activity of soy isoflavones. Environ Health </w:t>
            </w:r>
            <w:proofErr w:type="spellStart"/>
            <w:r w:rsidRPr="00E92C22">
              <w:rPr>
                <w:rFonts w:ascii="Calibri" w:hAnsi="Calibri" w:cs="Calibri"/>
              </w:rPr>
              <w:t>Perspect</w:t>
            </w:r>
            <w:proofErr w:type="spellEnd"/>
            <w:r w:rsidRPr="00E92C22">
              <w:rPr>
                <w:rFonts w:ascii="Calibri" w:hAnsi="Calibri" w:cs="Calibri"/>
              </w:rPr>
              <w:t>, 110(Suppl 3): 349-53.</w:t>
            </w:r>
          </w:p>
        </w:tc>
      </w:tr>
      <w:tr w:rsidR="00270FBF" w14:paraId="1026C11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E98B10A" w14:textId="77777777" w:rsidR="00270FBF" w:rsidRPr="00E92C22" w:rsidRDefault="00270FBF" w:rsidP="00270FBF">
            <w:pPr>
              <w:jc w:val="center"/>
              <w:rPr>
                <w:rFonts w:ascii="Calibri" w:hAnsi="Calibri" w:cs="Calibri"/>
              </w:rPr>
            </w:pPr>
            <w:r w:rsidRPr="00E92C22">
              <w:rPr>
                <w:rFonts w:ascii="Calibri" w:hAnsi="Calibri" w:cs="Calibri"/>
              </w:rPr>
              <w:t>102789</w:t>
            </w:r>
          </w:p>
        </w:tc>
        <w:tc>
          <w:tcPr>
            <w:tcW w:w="7371" w:type="dxa"/>
            <w:tcBorders>
              <w:top w:val="single" w:sz="4" w:space="0" w:color="auto"/>
              <w:left w:val="single" w:sz="4" w:space="0" w:color="auto"/>
              <w:bottom w:val="single" w:sz="4" w:space="0" w:color="auto"/>
              <w:right w:val="single" w:sz="4" w:space="0" w:color="auto"/>
            </w:tcBorders>
            <w:hideMark/>
          </w:tcPr>
          <w:p w14:paraId="52CCA6C5" w14:textId="77777777" w:rsidR="00270FBF" w:rsidRPr="00E92C22" w:rsidRDefault="00270FBF" w:rsidP="00270FBF">
            <w:pPr>
              <w:rPr>
                <w:rFonts w:ascii="Calibri" w:hAnsi="Calibri" w:cs="Calibri"/>
              </w:rPr>
            </w:pPr>
            <w:r w:rsidRPr="006E1170">
              <w:rPr>
                <w:rFonts w:ascii="Calibri" w:hAnsi="Calibri" w:cs="Calibri"/>
                <w:lang w:val="de-DE"/>
              </w:rPr>
              <w:t xml:space="preserve">Dong Q, Liu X, Wang F, et al (2017). </w:t>
            </w:r>
            <w:r w:rsidRPr="00E92C22">
              <w:rPr>
                <w:rFonts w:ascii="Calibri" w:hAnsi="Calibri" w:cs="Calibri"/>
              </w:rPr>
              <w:t xml:space="preserve">Dynamic changes of TRAb and </w:t>
            </w:r>
            <w:proofErr w:type="spellStart"/>
            <w:r w:rsidRPr="00E92C22">
              <w:rPr>
                <w:rFonts w:ascii="Calibri" w:hAnsi="Calibri" w:cs="Calibri"/>
              </w:rPr>
              <w:t>TPOAb</w:t>
            </w:r>
            <w:proofErr w:type="spellEnd"/>
            <w:r w:rsidRPr="00E92C22">
              <w:rPr>
                <w:rFonts w:ascii="Calibri" w:hAnsi="Calibri" w:cs="Calibri"/>
              </w:rPr>
              <w:t xml:space="preserve"> after radioiodine therapy in Grave's disease. Acta Endocrinol (Buchar), 13(1): 72-6.</w:t>
            </w:r>
          </w:p>
        </w:tc>
      </w:tr>
      <w:tr w:rsidR="00270FBF" w14:paraId="0E8643F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9CB3E71" w14:textId="77777777" w:rsidR="00270FBF" w:rsidRPr="00E92C22" w:rsidRDefault="00270FBF" w:rsidP="00270FBF">
            <w:pPr>
              <w:jc w:val="center"/>
              <w:rPr>
                <w:rFonts w:ascii="Calibri" w:hAnsi="Calibri" w:cs="Calibri"/>
              </w:rPr>
            </w:pPr>
            <w:r w:rsidRPr="00E92C22">
              <w:rPr>
                <w:rFonts w:ascii="Calibri" w:hAnsi="Calibri" w:cs="Calibri"/>
              </w:rPr>
              <w:t>66170</w:t>
            </w:r>
          </w:p>
        </w:tc>
        <w:tc>
          <w:tcPr>
            <w:tcW w:w="7371" w:type="dxa"/>
            <w:tcBorders>
              <w:top w:val="single" w:sz="4" w:space="0" w:color="auto"/>
              <w:left w:val="single" w:sz="4" w:space="0" w:color="auto"/>
              <w:bottom w:val="single" w:sz="4" w:space="0" w:color="auto"/>
              <w:right w:val="single" w:sz="4" w:space="0" w:color="auto"/>
            </w:tcBorders>
            <w:hideMark/>
          </w:tcPr>
          <w:p w14:paraId="452744C6" w14:textId="77777777" w:rsidR="00270FBF" w:rsidRPr="00E92C22" w:rsidRDefault="00270FBF" w:rsidP="00270FBF">
            <w:pPr>
              <w:rPr>
                <w:rFonts w:ascii="Calibri" w:hAnsi="Calibri" w:cs="Calibri"/>
              </w:rPr>
            </w:pPr>
            <w:proofErr w:type="spellStart"/>
            <w:r w:rsidRPr="00E92C22">
              <w:rPr>
                <w:rFonts w:ascii="Calibri" w:hAnsi="Calibri" w:cs="Calibri"/>
              </w:rPr>
              <w:t>Doufas</w:t>
            </w:r>
            <w:proofErr w:type="spellEnd"/>
            <w:r w:rsidRPr="00E92C22">
              <w:rPr>
                <w:rFonts w:ascii="Calibri" w:hAnsi="Calibri" w:cs="Calibri"/>
              </w:rPr>
              <w:t xml:space="preserve"> AG, </w:t>
            </w:r>
            <w:proofErr w:type="spellStart"/>
            <w:r w:rsidRPr="00E92C22">
              <w:rPr>
                <w:rFonts w:ascii="Calibri" w:hAnsi="Calibri" w:cs="Calibri"/>
              </w:rPr>
              <w:t>Mastorakos</w:t>
            </w:r>
            <w:proofErr w:type="spellEnd"/>
            <w:r w:rsidRPr="00E92C22">
              <w:rPr>
                <w:rFonts w:ascii="Calibri" w:hAnsi="Calibri" w:cs="Calibri"/>
              </w:rPr>
              <w:t xml:space="preserve"> G, Chatziioannou S, et al (1999). The predominant form of non-toxic </w:t>
            </w:r>
            <w:proofErr w:type="spellStart"/>
            <w:r w:rsidRPr="00E92C22">
              <w:rPr>
                <w:rFonts w:ascii="Calibri" w:hAnsi="Calibri" w:cs="Calibri"/>
              </w:rPr>
              <w:t>goiter</w:t>
            </w:r>
            <w:proofErr w:type="spellEnd"/>
            <w:r w:rsidRPr="00E92C22">
              <w:rPr>
                <w:rFonts w:ascii="Calibri" w:hAnsi="Calibri" w:cs="Calibri"/>
              </w:rPr>
              <w:t xml:space="preserve"> in Greece is now autoimmune thyroiditis. </w:t>
            </w:r>
            <w:proofErr w:type="spellStart"/>
            <w:r w:rsidRPr="00E92C22">
              <w:rPr>
                <w:rFonts w:ascii="Calibri" w:hAnsi="Calibri" w:cs="Calibri"/>
              </w:rPr>
              <w:t>Eur</w:t>
            </w:r>
            <w:proofErr w:type="spellEnd"/>
            <w:r w:rsidRPr="00E92C22">
              <w:rPr>
                <w:rFonts w:ascii="Calibri" w:hAnsi="Calibri" w:cs="Calibri"/>
              </w:rPr>
              <w:t xml:space="preserve"> J Endocrinol, 140(6): 505-11.</w:t>
            </w:r>
          </w:p>
        </w:tc>
      </w:tr>
      <w:tr w:rsidR="00270FBF" w14:paraId="15D7E00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FE9FAA6" w14:textId="77777777" w:rsidR="00270FBF" w:rsidRPr="00E92C22" w:rsidRDefault="00270FBF" w:rsidP="00270FBF">
            <w:pPr>
              <w:jc w:val="center"/>
              <w:rPr>
                <w:rFonts w:ascii="Calibri" w:hAnsi="Calibri" w:cs="Calibri"/>
              </w:rPr>
            </w:pPr>
            <w:r w:rsidRPr="00E92C22">
              <w:rPr>
                <w:rFonts w:ascii="Calibri" w:hAnsi="Calibri" w:cs="Calibri"/>
              </w:rPr>
              <w:t>66925</w:t>
            </w:r>
          </w:p>
        </w:tc>
        <w:tc>
          <w:tcPr>
            <w:tcW w:w="7371" w:type="dxa"/>
            <w:tcBorders>
              <w:top w:val="single" w:sz="4" w:space="0" w:color="auto"/>
              <w:left w:val="single" w:sz="4" w:space="0" w:color="auto"/>
              <w:bottom w:val="single" w:sz="4" w:space="0" w:color="auto"/>
              <w:right w:val="single" w:sz="4" w:space="0" w:color="auto"/>
            </w:tcBorders>
            <w:hideMark/>
          </w:tcPr>
          <w:p w14:paraId="5E419AAE" w14:textId="77777777" w:rsidR="00270FBF" w:rsidRPr="00E92C22" w:rsidRDefault="00270FBF" w:rsidP="00270FBF">
            <w:pPr>
              <w:rPr>
                <w:rFonts w:ascii="Calibri" w:hAnsi="Calibri" w:cs="Calibri"/>
              </w:rPr>
            </w:pPr>
            <w:r w:rsidRPr="00E92C22">
              <w:rPr>
                <w:rFonts w:ascii="Calibri" w:hAnsi="Calibri" w:cs="Calibri"/>
              </w:rPr>
              <w:t xml:space="preserve">Duarte GC, </w:t>
            </w:r>
            <w:proofErr w:type="spellStart"/>
            <w:r w:rsidRPr="00E92C22">
              <w:rPr>
                <w:rFonts w:ascii="Calibri" w:hAnsi="Calibri" w:cs="Calibri"/>
              </w:rPr>
              <w:t>Tomimori</w:t>
            </w:r>
            <w:proofErr w:type="spellEnd"/>
            <w:r w:rsidRPr="00E92C22">
              <w:rPr>
                <w:rFonts w:ascii="Calibri" w:hAnsi="Calibri" w:cs="Calibri"/>
              </w:rPr>
              <w:t xml:space="preserve"> EK, Camargo RY, et al (2009). The prevalence of thyroid dysfunction in elderly cardiology patients with mild excessive iodine intake in the urban area of Sao Paulo. Clinics (Sao Paulo), 64(2): 135-42.</w:t>
            </w:r>
          </w:p>
        </w:tc>
      </w:tr>
      <w:tr w:rsidR="00270FBF" w14:paraId="083DD17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5BA25B7" w14:textId="77777777" w:rsidR="00270FBF" w:rsidRPr="00E92C22" w:rsidRDefault="00270FBF" w:rsidP="00270FBF">
            <w:pPr>
              <w:jc w:val="center"/>
              <w:rPr>
                <w:rFonts w:ascii="Calibri" w:hAnsi="Calibri" w:cs="Calibri"/>
              </w:rPr>
            </w:pPr>
            <w:r w:rsidRPr="00E92C22">
              <w:rPr>
                <w:rFonts w:ascii="Calibri" w:hAnsi="Calibri" w:cs="Calibri"/>
              </w:rPr>
              <w:lastRenderedPageBreak/>
              <w:t>102790</w:t>
            </w:r>
          </w:p>
        </w:tc>
        <w:tc>
          <w:tcPr>
            <w:tcW w:w="7371" w:type="dxa"/>
            <w:tcBorders>
              <w:top w:val="single" w:sz="4" w:space="0" w:color="auto"/>
              <w:left w:val="single" w:sz="4" w:space="0" w:color="auto"/>
              <w:bottom w:val="single" w:sz="4" w:space="0" w:color="auto"/>
              <w:right w:val="single" w:sz="4" w:space="0" w:color="auto"/>
            </w:tcBorders>
            <w:hideMark/>
          </w:tcPr>
          <w:p w14:paraId="2145A7A9" w14:textId="77777777" w:rsidR="00270FBF" w:rsidRPr="00E92C22" w:rsidRDefault="00270FBF" w:rsidP="00270FBF">
            <w:pPr>
              <w:rPr>
                <w:rFonts w:ascii="Calibri" w:hAnsi="Calibri" w:cs="Calibri"/>
              </w:rPr>
            </w:pPr>
            <w:proofErr w:type="spellStart"/>
            <w:r w:rsidRPr="00E92C22">
              <w:rPr>
                <w:rFonts w:ascii="Calibri" w:hAnsi="Calibri" w:cs="Calibri"/>
              </w:rPr>
              <w:t>Dudzinska</w:t>
            </w:r>
            <w:proofErr w:type="spellEnd"/>
            <w:r w:rsidRPr="00E92C22">
              <w:rPr>
                <w:rFonts w:ascii="Calibri" w:hAnsi="Calibri" w:cs="Calibri"/>
              </w:rPr>
              <w:t xml:space="preserve"> M, </w:t>
            </w:r>
            <w:proofErr w:type="spellStart"/>
            <w:r w:rsidRPr="00E92C22">
              <w:rPr>
                <w:rFonts w:ascii="Calibri" w:hAnsi="Calibri" w:cs="Calibri"/>
              </w:rPr>
              <w:t>Szczyrek</w:t>
            </w:r>
            <w:proofErr w:type="spellEnd"/>
            <w:r w:rsidRPr="00E92C22">
              <w:rPr>
                <w:rFonts w:ascii="Calibri" w:hAnsi="Calibri" w:cs="Calibri"/>
              </w:rPr>
              <w:t xml:space="preserve"> M, </w:t>
            </w:r>
            <w:proofErr w:type="spellStart"/>
            <w:r w:rsidRPr="00E92C22">
              <w:rPr>
                <w:rFonts w:ascii="Calibri" w:hAnsi="Calibri" w:cs="Calibri"/>
              </w:rPr>
              <w:t>Wojas</w:t>
            </w:r>
            <w:proofErr w:type="spellEnd"/>
            <w:r w:rsidRPr="00E92C22">
              <w:rPr>
                <w:rFonts w:ascii="Calibri" w:hAnsi="Calibri" w:cs="Calibri"/>
              </w:rPr>
              <w:t>-Krawczyk K, et al (2020). Endocrine adverse events of nivolumab in non-small cell lung cancer patients-literature review. Cancers (Basel), 12(8): 2314.</w:t>
            </w:r>
          </w:p>
        </w:tc>
      </w:tr>
      <w:tr w:rsidR="00270FBF" w14:paraId="30F1228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69A931C" w14:textId="77777777" w:rsidR="00270FBF" w:rsidRPr="00E92C22" w:rsidRDefault="00270FBF" w:rsidP="00270FBF">
            <w:pPr>
              <w:jc w:val="center"/>
              <w:rPr>
                <w:rFonts w:ascii="Calibri" w:hAnsi="Calibri" w:cs="Calibri"/>
              </w:rPr>
            </w:pPr>
            <w:r w:rsidRPr="00E92C22">
              <w:rPr>
                <w:rFonts w:ascii="Calibri" w:hAnsi="Calibri" w:cs="Calibri"/>
              </w:rPr>
              <w:t>65356</w:t>
            </w:r>
          </w:p>
        </w:tc>
        <w:tc>
          <w:tcPr>
            <w:tcW w:w="7371" w:type="dxa"/>
            <w:tcBorders>
              <w:top w:val="single" w:sz="4" w:space="0" w:color="auto"/>
              <w:left w:val="single" w:sz="4" w:space="0" w:color="auto"/>
              <w:bottom w:val="single" w:sz="4" w:space="0" w:color="auto"/>
              <w:right w:val="single" w:sz="4" w:space="0" w:color="auto"/>
            </w:tcBorders>
            <w:hideMark/>
          </w:tcPr>
          <w:p w14:paraId="330A65D3" w14:textId="77777777" w:rsidR="00270FBF" w:rsidRPr="00E92C22" w:rsidRDefault="00270FBF" w:rsidP="00270FBF">
            <w:pPr>
              <w:rPr>
                <w:rFonts w:ascii="Calibri" w:hAnsi="Calibri" w:cs="Calibri"/>
              </w:rPr>
            </w:pPr>
            <w:proofErr w:type="spellStart"/>
            <w:r w:rsidRPr="00E92C22">
              <w:rPr>
                <w:rFonts w:ascii="Calibri" w:hAnsi="Calibri" w:cs="Calibri"/>
              </w:rPr>
              <w:t>Duntas</w:t>
            </w:r>
            <w:proofErr w:type="spellEnd"/>
            <w:r w:rsidRPr="00E92C22">
              <w:rPr>
                <w:rFonts w:ascii="Calibri" w:hAnsi="Calibri" w:cs="Calibri"/>
              </w:rPr>
              <w:t xml:space="preserve"> LH (2008). Environmental factors and autoimmune thyroiditis. Nat Clin </w:t>
            </w:r>
            <w:proofErr w:type="spellStart"/>
            <w:r w:rsidRPr="00E92C22">
              <w:rPr>
                <w:rFonts w:ascii="Calibri" w:hAnsi="Calibri" w:cs="Calibri"/>
              </w:rPr>
              <w:t>Pract</w:t>
            </w:r>
            <w:proofErr w:type="spellEnd"/>
            <w:r w:rsidRPr="00E92C22">
              <w:rPr>
                <w:rFonts w:ascii="Calibri" w:hAnsi="Calibri" w:cs="Calibri"/>
              </w:rPr>
              <w:t xml:space="preserve"> Endocrinol </w:t>
            </w:r>
            <w:proofErr w:type="spellStart"/>
            <w:r w:rsidRPr="00E92C22">
              <w:rPr>
                <w:rFonts w:ascii="Calibri" w:hAnsi="Calibri" w:cs="Calibri"/>
              </w:rPr>
              <w:t>Metab</w:t>
            </w:r>
            <w:proofErr w:type="spellEnd"/>
            <w:r w:rsidRPr="00E92C22">
              <w:rPr>
                <w:rFonts w:ascii="Calibri" w:hAnsi="Calibri" w:cs="Calibri"/>
              </w:rPr>
              <w:t>, 4(8): 454-60.</w:t>
            </w:r>
          </w:p>
        </w:tc>
      </w:tr>
      <w:tr w:rsidR="00270FBF" w14:paraId="1B6E583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DC64479" w14:textId="77777777" w:rsidR="00270FBF" w:rsidRPr="00E92C22" w:rsidRDefault="00270FBF" w:rsidP="00270FBF">
            <w:pPr>
              <w:jc w:val="center"/>
              <w:rPr>
                <w:rFonts w:ascii="Calibri" w:hAnsi="Calibri" w:cs="Calibri"/>
              </w:rPr>
            </w:pPr>
            <w:r w:rsidRPr="00E92C22">
              <w:rPr>
                <w:rFonts w:ascii="Calibri" w:hAnsi="Calibri" w:cs="Calibri"/>
              </w:rPr>
              <w:t>102524</w:t>
            </w:r>
          </w:p>
        </w:tc>
        <w:tc>
          <w:tcPr>
            <w:tcW w:w="7371" w:type="dxa"/>
            <w:tcBorders>
              <w:top w:val="single" w:sz="4" w:space="0" w:color="auto"/>
              <w:left w:val="single" w:sz="4" w:space="0" w:color="auto"/>
              <w:bottom w:val="single" w:sz="4" w:space="0" w:color="auto"/>
              <w:right w:val="single" w:sz="4" w:space="0" w:color="auto"/>
            </w:tcBorders>
            <w:hideMark/>
          </w:tcPr>
          <w:p w14:paraId="2A3DAEF9" w14:textId="77777777" w:rsidR="00270FBF" w:rsidRPr="00E92C22" w:rsidRDefault="00270FBF" w:rsidP="00270FBF">
            <w:pPr>
              <w:rPr>
                <w:rFonts w:ascii="Calibri" w:hAnsi="Calibri" w:cs="Calibri"/>
              </w:rPr>
            </w:pPr>
            <w:r w:rsidRPr="00E92C22">
              <w:rPr>
                <w:rFonts w:ascii="Calibri" w:hAnsi="Calibri" w:cs="Calibri"/>
              </w:rPr>
              <w:t xml:space="preserve">Durelli L, Ferrero B, </w:t>
            </w:r>
            <w:proofErr w:type="spellStart"/>
            <w:r w:rsidRPr="00E92C22">
              <w:rPr>
                <w:rFonts w:ascii="Calibri" w:hAnsi="Calibri" w:cs="Calibri"/>
              </w:rPr>
              <w:t>Oggero</w:t>
            </w:r>
            <w:proofErr w:type="spellEnd"/>
            <w:r w:rsidRPr="00E92C22">
              <w:rPr>
                <w:rFonts w:ascii="Calibri" w:hAnsi="Calibri" w:cs="Calibri"/>
              </w:rPr>
              <w:t xml:space="preserve"> A, et al (2001). Thyroid function and autoimmunity during interferon beta-1b treatment: a </w:t>
            </w:r>
            <w:proofErr w:type="spellStart"/>
            <w:r w:rsidRPr="00E92C22">
              <w:rPr>
                <w:rFonts w:ascii="Calibri" w:hAnsi="Calibri" w:cs="Calibri"/>
              </w:rPr>
              <w:t>multicenter</w:t>
            </w:r>
            <w:proofErr w:type="spellEnd"/>
            <w:r w:rsidRPr="00E92C22">
              <w:rPr>
                <w:rFonts w:ascii="Calibri" w:hAnsi="Calibri" w:cs="Calibri"/>
              </w:rPr>
              <w:t xml:space="preserve"> prospective study. J Clin Endocrinol </w:t>
            </w:r>
            <w:proofErr w:type="spellStart"/>
            <w:r w:rsidRPr="00E92C22">
              <w:rPr>
                <w:rFonts w:ascii="Calibri" w:hAnsi="Calibri" w:cs="Calibri"/>
              </w:rPr>
              <w:t>Metab</w:t>
            </w:r>
            <w:proofErr w:type="spellEnd"/>
            <w:r w:rsidRPr="00E92C22">
              <w:rPr>
                <w:rFonts w:ascii="Calibri" w:hAnsi="Calibri" w:cs="Calibri"/>
              </w:rPr>
              <w:t>, 86(8): 3525-32.</w:t>
            </w:r>
          </w:p>
        </w:tc>
      </w:tr>
      <w:tr w:rsidR="00270FBF" w14:paraId="2502A74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33AA33F" w14:textId="77777777" w:rsidR="00270FBF" w:rsidRPr="00E92C22" w:rsidRDefault="00270FBF" w:rsidP="00270FBF">
            <w:pPr>
              <w:jc w:val="center"/>
              <w:rPr>
                <w:rFonts w:ascii="Calibri" w:hAnsi="Calibri" w:cs="Calibri"/>
              </w:rPr>
            </w:pPr>
            <w:r w:rsidRPr="00E92C22">
              <w:rPr>
                <w:rFonts w:ascii="Calibri" w:hAnsi="Calibri" w:cs="Calibri"/>
              </w:rPr>
              <w:t>66966</w:t>
            </w:r>
          </w:p>
        </w:tc>
        <w:tc>
          <w:tcPr>
            <w:tcW w:w="7371" w:type="dxa"/>
            <w:tcBorders>
              <w:top w:val="single" w:sz="4" w:space="0" w:color="auto"/>
              <w:left w:val="single" w:sz="4" w:space="0" w:color="auto"/>
              <w:bottom w:val="single" w:sz="4" w:space="0" w:color="auto"/>
              <w:right w:val="single" w:sz="4" w:space="0" w:color="auto"/>
            </w:tcBorders>
            <w:hideMark/>
          </w:tcPr>
          <w:p w14:paraId="2B95985B" w14:textId="77777777" w:rsidR="00270FBF" w:rsidRPr="00E92C22" w:rsidRDefault="00270FBF" w:rsidP="00270FBF">
            <w:pPr>
              <w:rPr>
                <w:rFonts w:ascii="Calibri" w:hAnsi="Calibri" w:cs="Calibri"/>
              </w:rPr>
            </w:pPr>
            <w:r w:rsidRPr="00E92C22">
              <w:rPr>
                <w:rFonts w:ascii="Calibri" w:hAnsi="Calibri" w:cs="Calibri"/>
              </w:rPr>
              <w:t>Dutta P, Bhansali A, Masoodi SR, et al (2007). Predictors of outcome in myxoedema coma: a study from a tertiary care centre. Crit Care, 12(1): R1.</w:t>
            </w:r>
          </w:p>
        </w:tc>
      </w:tr>
      <w:tr w:rsidR="00270FBF" w14:paraId="35DF6F4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1D784C3" w14:textId="77777777" w:rsidR="00270FBF" w:rsidRPr="00E92C22" w:rsidRDefault="00270FBF" w:rsidP="00270FBF">
            <w:pPr>
              <w:jc w:val="center"/>
              <w:rPr>
                <w:rFonts w:ascii="Calibri" w:hAnsi="Calibri" w:cs="Calibri"/>
              </w:rPr>
            </w:pPr>
            <w:r w:rsidRPr="00E92C22">
              <w:rPr>
                <w:rFonts w:ascii="Calibri" w:hAnsi="Calibri" w:cs="Calibri"/>
              </w:rPr>
              <w:t>67070</w:t>
            </w:r>
          </w:p>
        </w:tc>
        <w:tc>
          <w:tcPr>
            <w:tcW w:w="7371" w:type="dxa"/>
            <w:tcBorders>
              <w:top w:val="single" w:sz="4" w:space="0" w:color="auto"/>
              <w:left w:val="single" w:sz="4" w:space="0" w:color="auto"/>
              <w:bottom w:val="single" w:sz="4" w:space="0" w:color="auto"/>
              <w:right w:val="single" w:sz="4" w:space="0" w:color="auto"/>
            </w:tcBorders>
            <w:hideMark/>
          </w:tcPr>
          <w:p w14:paraId="740D1B5B" w14:textId="77777777" w:rsidR="00270FBF" w:rsidRPr="00E92C22" w:rsidRDefault="00270FBF" w:rsidP="00270FBF">
            <w:pPr>
              <w:rPr>
                <w:rFonts w:ascii="Calibri" w:hAnsi="Calibri" w:cs="Calibri"/>
              </w:rPr>
            </w:pPr>
            <w:r w:rsidRPr="00E92C22">
              <w:rPr>
                <w:rFonts w:ascii="Calibri" w:hAnsi="Calibri" w:cs="Calibri"/>
              </w:rPr>
              <w:t xml:space="preserve">Effraimidis G, Strieder TG, </w:t>
            </w:r>
            <w:proofErr w:type="spellStart"/>
            <w:r w:rsidRPr="00E92C22">
              <w:rPr>
                <w:rFonts w:ascii="Calibri" w:hAnsi="Calibri" w:cs="Calibri"/>
              </w:rPr>
              <w:t>Tijssen</w:t>
            </w:r>
            <w:proofErr w:type="spellEnd"/>
            <w:r w:rsidRPr="00E92C22">
              <w:rPr>
                <w:rFonts w:ascii="Calibri" w:hAnsi="Calibri" w:cs="Calibri"/>
              </w:rPr>
              <w:t xml:space="preserve"> JP, et al (2011). Natural history of the transition from </w:t>
            </w:r>
            <w:proofErr w:type="spellStart"/>
            <w:r w:rsidRPr="00E92C22">
              <w:rPr>
                <w:rFonts w:ascii="Calibri" w:hAnsi="Calibri" w:cs="Calibri"/>
              </w:rPr>
              <w:t>euthyroidism</w:t>
            </w:r>
            <w:proofErr w:type="spellEnd"/>
            <w:r w:rsidRPr="00E92C22">
              <w:rPr>
                <w:rFonts w:ascii="Calibri" w:hAnsi="Calibri" w:cs="Calibri"/>
              </w:rPr>
              <w:t xml:space="preserve"> to overt autoimmune hypo- or hyperthyroidism: a prospective study. </w:t>
            </w:r>
            <w:proofErr w:type="spellStart"/>
            <w:r w:rsidRPr="00E92C22">
              <w:rPr>
                <w:rFonts w:ascii="Calibri" w:hAnsi="Calibri" w:cs="Calibri"/>
              </w:rPr>
              <w:t>Eur</w:t>
            </w:r>
            <w:proofErr w:type="spellEnd"/>
            <w:r w:rsidRPr="00E92C22">
              <w:rPr>
                <w:rFonts w:ascii="Calibri" w:hAnsi="Calibri" w:cs="Calibri"/>
              </w:rPr>
              <w:t xml:space="preserve"> J Endocrinol, 164(1): 107-13.</w:t>
            </w:r>
          </w:p>
        </w:tc>
      </w:tr>
      <w:tr w:rsidR="00270FBF" w14:paraId="3061B0B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7BC4B42" w14:textId="77777777" w:rsidR="00270FBF" w:rsidRPr="00E92C22" w:rsidRDefault="00270FBF" w:rsidP="00270FBF">
            <w:pPr>
              <w:jc w:val="center"/>
              <w:rPr>
                <w:rFonts w:ascii="Calibri" w:hAnsi="Calibri" w:cs="Calibri"/>
              </w:rPr>
            </w:pPr>
            <w:r w:rsidRPr="00E92C22">
              <w:rPr>
                <w:rFonts w:ascii="Calibri" w:hAnsi="Calibri" w:cs="Calibri"/>
              </w:rPr>
              <w:t>102791</w:t>
            </w:r>
          </w:p>
        </w:tc>
        <w:tc>
          <w:tcPr>
            <w:tcW w:w="7371" w:type="dxa"/>
            <w:tcBorders>
              <w:top w:val="single" w:sz="4" w:space="0" w:color="auto"/>
              <w:left w:val="single" w:sz="4" w:space="0" w:color="auto"/>
              <w:bottom w:val="single" w:sz="4" w:space="0" w:color="auto"/>
              <w:right w:val="single" w:sz="4" w:space="0" w:color="auto"/>
            </w:tcBorders>
            <w:hideMark/>
          </w:tcPr>
          <w:p w14:paraId="6DA00EB9" w14:textId="77777777" w:rsidR="00270FBF" w:rsidRPr="00E92C22" w:rsidRDefault="00270FBF" w:rsidP="00270FBF">
            <w:pPr>
              <w:rPr>
                <w:rFonts w:ascii="Calibri" w:hAnsi="Calibri" w:cs="Calibri"/>
              </w:rPr>
            </w:pPr>
            <w:r w:rsidRPr="006E1170">
              <w:rPr>
                <w:rFonts w:ascii="Calibri" w:hAnsi="Calibri" w:cs="Calibri"/>
                <w:lang w:val="de-DE"/>
              </w:rPr>
              <w:t xml:space="preserve">Effraimidis G, Tijssen JG, Wiersinga WM (2009). </w:t>
            </w:r>
            <w:r w:rsidRPr="00E92C22">
              <w:rPr>
                <w:rFonts w:ascii="Calibri" w:hAnsi="Calibri" w:cs="Calibri"/>
              </w:rPr>
              <w:t xml:space="preserve">Discontinuation of smoking increases the risk for developing thyroid peroxidase antibodies and/or thyroglobulin antibodies: a prospective study. J Clin Endocrinol </w:t>
            </w:r>
            <w:proofErr w:type="spellStart"/>
            <w:r w:rsidRPr="00E92C22">
              <w:rPr>
                <w:rFonts w:ascii="Calibri" w:hAnsi="Calibri" w:cs="Calibri"/>
              </w:rPr>
              <w:t>Metab</w:t>
            </w:r>
            <w:proofErr w:type="spellEnd"/>
            <w:r w:rsidRPr="00E92C22">
              <w:rPr>
                <w:rFonts w:ascii="Calibri" w:hAnsi="Calibri" w:cs="Calibri"/>
              </w:rPr>
              <w:t>, 94(4): 1324-8.</w:t>
            </w:r>
          </w:p>
        </w:tc>
      </w:tr>
      <w:tr w:rsidR="00270FBF" w14:paraId="37B9476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EC435EB" w14:textId="77777777" w:rsidR="00270FBF" w:rsidRPr="00E92C22" w:rsidRDefault="00270FBF" w:rsidP="00270FBF">
            <w:pPr>
              <w:jc w:val="center"/>
              <w:rPr>
                <w:rFonts w:ascii="Calibri" w:hAnsi="Calibri" w:cs="Calibri"/>
              </w:rPr>
            </w:pPr>
            <w:r w:rsidRPr="00E92C22">
              <w:rPr>
                <w:rFonts w:ascii="Calibri" w:hAnsi="Calibri" w:cs="Calibri"/>
              </w:rPr>
              <w:t>66204</w:t>
            </w:r>
          </w:p>
        </w:tc>
        <w:tc>
          <w:tcPr>
            <w:tcW w:w="7371" w:type="dxa"/>
            <w:tcBorders>
              <w:top w:val="single" w:sz="4" w:space="0" w:color="auto"/>
              <w:left w:val="single" w:sz="4" w:space="0" w:color="auto"/>
              <w:bottom w:val="single" w:sz="4" w:space="0" w:color="auto"/>
              <w:right w:val="single" w:sz="4" w:space="0" w:color="auto"/>
            </w:tcBorders>
            <w:hideMark/>
          </w:tcPr>
          <w:p w14:paraId="38553404" w14:textId="77777777" w:rsidR="00270FBF" w:rsidRPr="00E92C22" w:rsidRDefault="00270FBF" w:rsidP="00270FBF">
            <w:pPr>
              <w:rPr>
                <w:rFonts w:ascii="Calibri" w:hAnsi="Calibri" w:cs="Calibri"/>
              </w:rPr>
            </w:pPr>
            <w:r w:rsidRPr="006E1170">
              <w:rPr>
                <w:rFonts w:ascii="Calibri" w:hAnsi="Calibri" w:cs="Calibri"/>
                <w:lang w:val="de-DE"/>
              </w:rPr>
              <w:t xml:space="preserve">Eheman CR, Garbe P, Tuttle RM (2003). </w:t>
            </w:r>
            <w:r w:rsidRPr="00E92C22">
              <w:rPr>
                <w:rFonts w:ascii="Calibri" w:hAnsi="Calibri" w:cs="Calibri"/>
              </w:rPr>
              <w:t>Autoimmune thyroid disease associated with environmental thyroidal irradiation. Thyroid, 13(5): 453- 64.</w:t>
            </w:r>
          </w:p>
        </w:tc>
      </w:tr>
      <w:tr w:rsidR="00270FBF" w14:paraId="749D1D1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9F54555" w14:textId="77777777" w:rsidR="00270FBF" w:rsidRPr="00E92C22" w:rsidRDefault="00270FBF" w:rsidP="00270FBF">
            <w:pPr>
              <w:jc w:val="center"/>
              <w:rPr>
                <w:rFonts w:ascii="Calibri" w:hAnsi="Calibri" w:cs="Calibri"/>
              </w:rPr>
            </w:pPr>
            <w:r w:rsidRPr="00E92C22">
              <w:rPr>
                <w:rFonts w:ascii="Calibri" w:hAnsi="Calibri" w:cs="Calibri"/>
              </w:rPr>
              <w:t>65365</w:t>
            </w:r>
          </w:p>
        </w:tc>
        <w:tc>
          <w:tcPr>
            <w:tcW w:w="7371" w:type="dxa"/>
            <w:tcBorders>
              <w:top w:val="single" w:sz="4" w:space="0" w:color="auto"/>
              <w:left w:val="single" w:sz="4" w:space="0" w:color="auto"/>
              <w:bottom w:val="single" w:sz="4" w:space="0" w:color="auto"/>
              <w:right w:val="single" w:sz="4" w:space="0" w:color="auto"/>
            </w:tcBorders>
            <w:hideMark/>
          </w:tcPr>
          <w:p w14:paraId="3171C4F1" w14:textId="77777777" w:rsidR="00270FBF" w:rsidRPr="00E92C22" w:rsidRDefault="00270FBF" w:rsidP="00270FBF">
            <w:pPr>
              <w:rPr>
                <w:rFonts w:ascii="Calibri" w:hAnsi="Calibri" w:cs="Calibri"/>
              </w:rPr>
            </w:pPr>
            <w:r w:rsidRPr="006E1170">
              <w:rPr>
                <w:rFonts w:ascii="Calibri" w:hAnsi="Calibri" w:cs="Calibri"/>
                <w:lang w:val="de-DE"/>
              </w:rPr>
              <w:t xml:space="preserve">Eker SS, Akkaya C, Ersoy C, et al (2010). </w:t>
            </w:r>
            <w:r w:rsidRPr="00E92C22">
              <w:rPr>
                <w:rFonts w:ascii="Calibri" w:hAnsi="Calibri" w:cs="Calibri"/>
              </w:rPr>
              <w:t>Reversible escitalopram-induced hypothyroidism. Gen Hosp Psychiatry, 32(5): 559e5-7.</w:t>
            </w:r>
          </w:p>
        </w:tc>
      </w:tr>
      <w:tr w:rsidR="00270FBF" w14:paraId="64A43DB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A7165B3" w14:textId="77777777" w:rsidR="00270FBF" w:rsidRPr="00E92C22" w:rsidRDefault="00270FBF" w:rsidP="00270FBF">
            <w:pPr>
              <w:jc w:val="center"/>
              <w:rPr>
                <w:rFonts w:ascii="Calibri" w:hAnsi="Calibri" w:cs="Calibri"/>
              </w:rPr>
            </w:pPr>
            <w:r w:rsidRPr="00E92C22">
              <w:rPr>
                <w:rFonts w:ascii="Calibri" w:hAnsi="Calibri" w:cs="Calibri"/>
              </w:rPr>
              <w:t>49239</w:t>
            </w:r>
          </w:p>
        </w:tc>
        <w:tc>
          <w:tcPr>
            <w:tcW w:w="7371" w:type="dxa"/>
            <w:tcBorders>
              <w:top w:val="single" w:sz="4" w:space="0" w:color="auto"/>
              <w:left w:val="single" w:sz="4" w:space="0" w:color="auto"/>
              <w:bottom w:val="single" w:sz="4" w:space="0" w:color="auto"/>
              <w:right w:val="single" w:sz="4" w:space="0" w:color="auto"/>
            </w:tcBorders>
            <w:hideMark/>
          </w:tcPr>
          <w:p w14:paraId="7B577158" w14:textId="77777777" w:rsidR="00270FBF" w:rsidRPr="00E92C22" w:rsidRDefault="00270FBF" w:rsidP="00270FBF">
            <w:pPr>
              <w:rPr>
                <w:rFonts w:ascii="Calibri" w:hAnsi="Calibri" w:cs="Calibri"/>
              </w:rPr>
            </w:pPr>
            <w:proofErr w:type="spellStart"/>
            <w:r w:rsidRPr="00E92C22">
              <w:rPr>
                <w:rFonts w:ascii="Calibri" w:hAnsi="Calibri" w:cs="Calibri"/>
              </w:rPr>
              <w:t>Eledrisi</w:t>
            </w:r>
            <w:proofErr w:type="spellEnd"/>
            <w:r w:rsidRPr="00E92C22">
              <w:rPr>
                <w:rFonts w:ascii="Calibri" w:hAnsi="Calibri" w:cs="Calibri"/>
              </w:rPr>
              <w:t xml:space="preserve"> MS (2020). </w:t>
            </w:r>
            <w:proofErr w:type="spellStart"/>
            <w:r w:rsidRPr="00E92C22">
              <w:rPr>
                <w:rFonts w:ascii="Calibri" w:hAnsi="Calibri" w:cs="Calibri"/>
              </w:rPr>
              <w:t>Myxedema</w:t>
            </w:r>
            <w:proofErr w:type="spellEnd"/>
            <w:r w:rsidRPr="00E92C22">
              <w:rPr>
                <w:rFonts w:ascii="Calibri" w:hAnsi="Calibri" w:cs="Calibri"/>
              </w:rPr>
              <w:t xml:space="preserve"> coma or crisis clinical presentation. Retrieved 11 August 2008, from https://emedicine.medscape.com/article/123577-clinical</w:t>
            </w:r>
          </w:p>
        </w:tc>
      </w:tr>
      <w:tr w:rsidR="00270FBF" w14:paraId="0C13D2A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BDFB1E8" w14:textId="77777777" w:rsidR="00270FBF" w:rsidRPr="00E92C22" w:rsidRDefault="00270FBF" w:rsidP="00270FBF">
            <w:pPr>
              <w:jc w:val="center"/>
              <w:rPr>
                <w:rFonts w:ascii="Calibri" w:hAnsi="Calibri" w:cs="Calibri"/>
              </w:rPr>
            </w:pPr>
            <w:r w:rsidRPr="00E92C22">
              <w:rPr>
                <w:rFonts w:ascii="Calibri" w:hAnsi="Calibri" w:cs="Calibri"/>
              </w:rPr>
              <w:t>102792</w:t>
            </w:r>
          </w:p>
        </w:tc>
        <w:tc>
          <w:tcPr>
            <w:tcW w:w="7371" w:type="dxa"/>
            <w:tcBorders>
              <w:top w:val="single" w:sz="4" w:space="0" w:color="auto"/>
              <w:left w:val="single" w:sz="4" w:space="0" w:color="auto"/>
              <w:bottom w:val="single" w:sz="4" w:space="0" w:color="auto"/>
              <w:right w:val="single" w:sz="4" w:space="0" w:color="auto"/>
            </w:tcBorders>
            <w:hideMark/>
          </w:tcPr>
          <w:p w14:paraId="1FB8B566" w14:textId="77777777" w:rsidR="00270FBF" w:rsidRPr="00E92C22" w:rsidRDefault="00270FBF" w:rsidP="00270FBF">
            <w:pPr>
              <w:rPr>
                <w:rFonts w:ascii="Calibri" w:hAnsi="Calibri" w:cs="Calibri"/>
              </w:rPr>
            </w:pPr>
            <w:r w:rsidRPr="00E92C22">
              <w:rPr>
                <w:rFonts w:ascii="Calibri" w:hAnsi="Calibri" w:cs="Calibri"/>
              </w:rPr>
              <w:t xml:space="preserve">Elosua-Gonzalez M, Pampin-Franco A, </w:t>
            </w:r>
            <w:proofErr w:type="spellStart"/>
            <w:r w:rsidRPr="00E92C22">
              <w:rPr>
                <w:rFonts w:ascii="Calibri" w:hAnsi="Calibri" w:cs="Calibri"/>
              </w:rPr>
              <w:t>Mazzucchelli</w:t>
            </w:r>
            <w:proofErr w:type="spellEnd"/>
            <w:r w:rsidRPr="00E92C22">
              <w:rPr>
                <w:rFonts w:ascii="Calibri" w:hAnsi="Calibri" w:cs="Calibri"/>
              </w:rPr>
              <w:t>-Esteban R, et al (2017). A case of de novo palmoplantar psoriasis with psoriatic arthritis and autoimmune hypothyroidism after receiving nivolumab therapy. Dermatol Online J, 23(8): 13030/qt12n4m6pm.</w:t>
            </w:r>
          </w:p>
        </w:tc>
      </w:tr>
      <w:tr w:rsidR="00270FBF" w14:paraId="37CA888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F85779B" w14:textId="77777777" w:rsidR="00270FBF" w:rsidRPr="00E92C22" w:rsidRDefault="00270FBF" w:rsidP="00270FBF">
            <w:pPr>
              <w:jc w:val="center"/>
              <w:rPr>
                <w:rFonts w:ascii="Calibri" w:hAnsi="Calibri" w:cs="Calibri"/>
              </w:rPr>
            </w:pPr>
            <w:r w:rsidRPr="00E92C22">
              <w:rPr>
                <w:rFonts w:ascii="Calibri" w:hAnsi="Calibri" w:cs="Calibri"/>
              </w:rPr>
              <w:t>103523</w:t>
            </w:r>
          </w:p>
        </w:tc>
        <w:tc>
          <w:tcPr>
            <w:tcW w:w="7371" w:type="dxa"/>
            <w:tcBorders>
              <w:top w:val="single" w:sz="4" w:space="0" w:color="auto"/>
              <w:left w:val="single" w:sz="4" w:space="0" w:color="auto"/>
              <w:bottom w:val="single" w:sz="4" w:space="0" w:color="auto"/>
              <w:right w:val="single" w:sz="4" w:space="0" w:color="auto"/>
            </w:tcBorders>
            <w:hideMark/>
          </w:tcPr>
          <w:p w14:paraId="6E4A69D2" w14:textId="77777777" w:rsidR="00270FBF" w:rsidRPr="00E92C22" w:rsidRDefault="00270FBF" w:rsidP="00270FBF">
            <w:pPr>
              <w:rPr>
                <w:rFonts w:ascii="Calibri" w:hAnsi="Calibri" w:cs="Calibri"/>
              </w:rPr>
            </w:pPr>
            <w:proofErr w:type="spellStart"/>
            <w:r w:rsidRPr="00E92C22">
              <w:rPr>
                <w:rFonts w:ascii="Calibri" w:hAnsi="Calibri" w:cs="Calibri"/>
              </w:rPr>
              <w:t>Erhamamci</w:t>
            </w:r>
            <w:proofErr w:type="spellEnd"/>
            <w:r w:rsidRPr="00E92C22">
              <w:rPr>
                <w:rFonts w:ascii="Calibri" w:hAnsi="Calibri" w:cs="Calibri"/>
              </w:rPr>
              <w:t xml:space="preserve"> S, </w:t>
            </w:r>
            <w:proofErr w:type="spellStart"/>
            <w:r w:rsidRPr="00E92C22">
              <w:rPr>
                <w:rFonts w:ascii="Calibri" w:hAnsi="Calibri" w:cs="Calibri"/>
              </w:rPr>
              <w:t>Horasanli</w:t>
            </w:r>
            <w:proofErr w:type="spellEnd"/>
            <w:r w:rsidRPr="00E92C22">
              <w:rPr>
                <w:rFonts w:ascii="Calibri" w:hAnsi="Calibri" w:cs="Calibri"/>
              </w:rPr>
              <w:t xml:space="preserve"> B, </w:t>
            </w:r>
            <w:proofErr w:type="spellStart"/>
            <w:r w:rsidRPr="00E92C22">
              <w:rPr>
                <w:rFonts w:ascii="Calibri" w:hAnsi="Calibri" w:cs="Calibri"/>
              </w:rPr>
              <w:t>Aktas</w:t>
            </w:r>
            <w:proofErr w:type="spellEnd"/>
            <w:r w:rsidRPr="00E92C22">
              <w:rPr>
                <w:rFonts w:ascii="Calibri" w:hAnsi="Calibri" w:cs="Calibri"/>
              </w:rPr>
              <w:t xml:space="preserve"> A (2014). Assessment of the effect of interferon-beta1a therapy on thyroid and salivary gland functions in patients with multiple sclerosis using quantitative salivary gland scintigraphy. Mol Imaging </w:t>
            </w:r>
            <w:proofErr w:type="spellStart"/>
            <w:r w:rsidRPr="00E92C22">
              <w:rPr>
                <w:rFonts w:ascii="Calibri" w:hAnsi="Calibri" w:cs="Calibri"/>
              </w:rPr>
              <w:t>Radionucl</w:t>
            </w:r>
            <w:proofErr w:type="spellEnd"/>
            <w:r w:rsidRPr="00E92C22">
              <w:rPr>
                <w:rFonts w:ascii="Calibri" w:hAnsi="Calibri" w:cs="Calibri"/>
              </w:rPr>
              <w:t xml:space="preserve"> Ther, 23(2): 43-7.</w:t>
            </w:r>
          </w:p>
        </w:tc>
      </w:tr>
      <w:tr w:rsidR="00270FBF" w14:paraId="41D5705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FE3E0BB" w14:textId="77777777" w:rsidR="00270FBF" w:rsidRPr="00E92C22" w:rsidRDefault="00270FBF" w:rsidP="00270FBF">
            <w:pPr>
              <w:jc w:val="center"/>
              <w:rPr>
                <w:rFonts w:ascii="Calibri" w:hAnsi="Calibri" w:cs="Calibri"/>
              </w:rPr>
            </w:pPr>
            <w:r w:rsidRPr="00E92C22">
              <w:rPr>
                <w:rFonts w:ascii="Calibri" w:hAnsi="Calibri" w:cs="Calibri"/>
              </w:rPr>
              <w:t>67017</w:t>
            </w:r>
          </w:p>
        </w:tc>
        <w:tc>
          <w:tcPr>
            <w:tcW w:w="7371" w:type="dxa"/>
            <w:tcBorders>
              <w:top w:val="single" w:sz="4" w:space="0" w:color="auto"/>
              <w:left w:val="single" w:sz="4" w:space="0" w:color="auto"/>
              <w:bottom w:val="single" w:sz="4" w:space="0" w:color="auto"/>
              <w:right w:val="single" w:sz="4" w:space="0" w:color="auto"/>
            </w:tcBorders>
            <w:hideMark/>
          </w:tcPr>
          <w:p w14:paraId="1431494B" w14:textId="77777777" w:rsidR="00270FBF" w:rsidRPr="00E92C22" w:rsidRDefault="00270FBF" w:rsidP="00270FBF">
            <w:pPr>
              <w:rPr>
                <w:rFonts w:ascii="Calibri" w:hAnsi="Calibri" w:cs="Calibri"/>
              </w:rPr>
            </w:pPr>
            <w:r w:rsidRPr="00E92C22">
              <w:rPr>
                <w:rFonts w:ascii="Calibri" w:hAnsi="Calibri" w:cs="Calibri"/>
              </w:rPr>
              <w:t xml:space="preserve">Eschler DC, Hasham A, Tomer Y (2011). Cutting edge: the </w:t>
            </w:r>
            <w:proofErr w:type="spellStart"/>
            <w:r w:rsidRPr="00E92C22">
              <w:rPr>
                <w:rFonts w:ascii="Calibri" w:hAnsi="Calibri" w:cs="Calibri"/>
              </w:rPr>
              <w:t>etiology</w:t>
            </w:r>
            <w:proofErr w:type="spellEnd"/>
            <w:r w:rsidRPr="00E92C22">
              <w:rPr>
                <w:rFonts w:ascii="Calibri" w:hAnsi="Calibri" w:cs="Calibri"/>
              </w:rPr>
              <w:t xml:space="preserve"> of autoimmune thyroid diseases. Clin Rev Allergy Immunol, 41(2): 190-7.</w:t>
            </w:r>
          </w:p>
        </w:tc>
      </w:tr>
      <w:tr w:rsidR="00270FBF" w14:paraId="2955819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4431531" w14:textId="77777777" w:rsidR="00270FBF" w:rsidRPr="00E92C22" w:rsidRDefault="00270FBF" w:rsidP="00270FBF">
            <w:pPr>
              <w:jc w:val="center"/>
              <w:rPr>
                <w:rFonts w:ascii="Calibri" w:hAnsi="Calibri" w:cs="Calibri"/>
              </w:rPr>
            </w:pPr>
            <w:r w:rsidRPr="00E92C22">
              <w:rPr>
                <w:rFonts w:ascii="Calibri" w:hAnsi="Calibri" w:cs="Calibri"/>
              </w:rPr>
              <w:t>91039</w:t>
            </w:r>
          </w:p>
        </w:tc>
        <w:tc>
          <w:tcPr>
            <w:tcW w:w="7371" w:type="dxa"/>
            <w:tcBorders>
              <w:top w:val="single" w:sz="4" w:space="0" w:color="auto"/>
              <w:left w:val="single" w:sz="4" w:space="0" w:color="auto"/>
              <w:bottom w:val="single" w:sz="4" w:space="0" w:color="auto"/>
              <w:right w:val="single" w:sz="4" w:space="0" w:color="auto"/>
            </w:tcBorders>
            <w:hideMark/>
          </w:tcPr>
          <w:p w14:paraId="0C90C801" w14:textId="77777777" w:rsidR="00270FBF" w:rsidRPr="00E92C22" w:rsidRDefault="00270FBF" w:rsidP="00270FBF">
            <w:pPr>
              <w:rPr>
                <w:rFonts w:ascii="Calibri" w:hAnsi="Calibri" w:cs="Calibri"/>
              </w:rPr>
            </w:pPr>
            <w:r w:rsidRPr="00E92C22">
              <w:rPr>
                <w:rFonts w:ascii="Calibri" w:hAnsi="Calibri" w:cs="Calibri"/>
              </w:rPr>
              <w:t>Expert Health Panel for Per- and Poly-Fluoroalkyl Substances (PFAS) (2018). PFAS Expert Health Panel - Report to the Minister, Department of Health.</w:t>
            </w:r>
          </w:p>
        </w:tc>
      </w:tr>
      <w:tr w:rsidR="00270FBF" w14:paraId="0098CC3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05A472A" w14:textId="77777777" w:rsidR="00270FBF" w:rsidRPr="00E92C22" w:rsidRDefault="00270FBF" w:rsidP="00270FBF">
            <w:pPr>
              <w:jc w:val="center"/>
              <w:rPr>
                <w:rFonts w:ascii="Calibri" w:hAnsi="Calibri" w:cs="Calibri"/>
              </w:rPr>
            </w:pPr>
            <w:r w:rsidRPr="00E92C22">
              <w:rPr>
                <w:rFonts w:ascii="Calibri" w:hAnsi="Calibri" w:cs="Calibri"/>
              </w:rPr>
              <w:t>102374</w:t>
            </w:r>
          </w:p>
        </w:tc>
        <w:tc>
          <w:tcPr>
            <w:tcW w:w="7371" w:type="dxa"/>
            <w:tcBorders>
              <w:top w:val="single" w:sz="4" w:space="0" w:color="auto"/>
              <w:left w:val="single" w:sz="4" w:space="0" w:color="auto"/>
              <w:bottom w:val="single" w:sz="4" w:space="0" w:color="auto"/>
              <w:right w:val="single" w:sz="4" w:space="0" w:color="auto"/>
            </w:tcBorders>
            <w:hideMark/>
          </w:tcPr>
          <w:p w14:paraId="3268FC03" w14:textId="77777777" w:rsidR="00270FBF" w:rsidRPr="00E92C22" w:rsidRDefault="00270FBF" w:rsidP="00270FBF">
            <w:pPr>
              <w:rPr>
                <w:rFonts w:ascii="Calibri" w:hAnsi="Calibri" w:cs="Calibri"/>
              </w:rPr>
            </w:pPr>
            <w:r w:rsidRPr="00E92C22">
              <w:rPr>
                <w:rFonts w:ascii="Calibri" w:hAnsi="Calibri" w:cs="Calibri"/>
              </w:rPr>
              <w:t xml:space="preserve">Fallahi P, Ferrari SM, Vita R, et al (2016). The role of human parvovirus B19 and hepatitis C virus in the development of thyroid disorders. Rev </w:t>
            </w:r>
            <w:proofErr w:type="spellStart"/>
            <w:r w:rsidRPr="00E92C22">
              <w:rPr>
                <w:rFonts w:ascii="Calibri" w:hAnsi="Calibri" w:cs="Calibri"/>
              </w:rPr>
              <w:t>Endocr</w:t>
            </w:r>
            <w:proofErr w:type="spellEnd"/>
            <w:r w:rsidRPr="00E92C22">
              <w:rPr>
                <w:rFonts w:ascii="Calibri" w:hAnsi="Calibri" w:cs="Calibri"/>
              </w:rPr>
              <w:t xml:space="preserve"> </w:t>
            </w:r>
            <w:proofErr w:type="spellStart"/>
            <w:r w:rsidRPr="00E92C22">
              <w:rPr>
                <w:rFonts w:ascii="Calibri" w:hAnsi="Calibri" w:cs="Calibri"/>
              </w:rPr>
              <w:t>Metab</w:t>
            </w:r>
            <w:proofErr w:type="spellEnd"/>
            <w:r w:rsidRPr="00E92C22">
              <w:rPr>
                <w:rFonts w:ascii="Calibri" w:hAnsi="Calibri" w:cs="Calibri"/>
              </w:rPr>
              <w:t xml:space="preserve"> </w:t>
            </w:r>
            <w:proofErr w:type="spellStart"/>
            <w:r w:rsidRPr="00E92C22">
              <w:rPr>
                <w:rFonts w:ascii="Calibri" w:hAnsi="Calibri" w:cs="Calibri"/>
              </w:rPr>
              <w:t>Disord</w:t>
            </w:r>
            <w:proofErr w:type="spellEnd"/>
            <w:r w:rsidRPr="00E92C22">
              <w:rPr>
                <w:rFonts w:ascii="Calibri" w:hAnsi="Calibri" w:cs="Calibri"/>
              </w:rPr>
              <w:t>, 17(4): 529-35.</w:t>
            </w:r>
          </w:p>
        </w:tc>
      </w:tr>
      <w:tr w:rsidR="00270FBF" w14:paraId="0620314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0DE4A1F" w14:textId="77777777" w:rsidR="00270FBF" w:rsidRPr="00E92C22" w:rsidRDefault="00270FBF" w:rsidP="00270FBF">
            <w:pPr>
              <w:jc w:val="center"/>
              <w:rPr>
                <w:rFonts w:ascii="Calibri" w:hAnsi="Calibri" w:cs="Calibri"/>
              </w:rPr>
            </w:pPr>
            <w:r w:rsidRPr="00E92C22">
              <w:rPr>
                <w:rFonts w:ascii="Calibri" w:hAnsi="Calibri" w:cs="Calibri"/>
              </w:rPr>
              <w:t>102929</w:t>
            </w:r>
          </w:p>
        </w:tc>
        <w:tc>
          <w:tcPr>
            <w:tcW w:w="7371" w:type="dxa"/>
            <w:tcBorders>
              <w:top w:val="single" w:sz="4" w:space="0" w:color="auto"/>
              <w:left w:val="single" w:sz="4" w:space="0" w:color="auto"/>
              <w:bottom w:val="single" w:sz="4" w:space="0" w:color="auto"/>
              <w:right w:val="single" w:sz="4" w:space="0" w:color="auto"/>
            </w:tcBorders>
            <w:hideMark/>
          </w:tcPr>
          <w:p w14:paraId="6ACE4454" w14:textId="77777777" w:rsidR="00270FBF" w:rsidRPr="00E92C22" w:rsidRDefault="00270FBF" w:rsidP="00270FBF">
            <w:pPr>
              <w:rPr>
                <w:rFonts w:ascii="Calibri" w:hAnsi="Calibri" w:cs="Calibri"/>
              </w:rPr>
            </w:pPr>
            <w:r w:rsidRPr="00E92C22">
              <w:rPr>
                <w:rFonts w:ascii="Calibri" w:hAnsi="Calibri" w:cs="Calibri"/>
              </w:rPr>
              <w:t xml:space="preserve">Feghali K, Atallah J, Norman C (2021). Manifestations of thyroid disease post COVID-19 illness: Report of Hashimoto thyroiditis, Graves’ disease, and subacute thyroiditis. J Clin </w:t>
            </w:r>
            <w:proofErr w:type="spellStart"/>
            <w:r w:rsidRPr="00E92C22">
              <w:rPr>
                <w:rFonts w:ascii="Calibri" w:hAnsi="Calibri" w:cs="Calibri"/>
              </w:rPr>
              <w:t>Transl</w:t>
            </w:r>
            <w:proofErr w:type="spellEnd"/>
            <w:r w:rsidRPr="00E92C22">
              <w:rPr>
                <w:rFonts w:ascii="Calibri" w:hAnsi="Calibri" w:cs="Calibri"/>
              </w:rPr>
              <w:t xml:space="preserve"> Endocrinol Case Rep, 22: 100094.</w:t>
            </w:r>
          </w:p>
        </w:tc>
      </w:tr>
      <w:tr w:rsidR="00270FBF" w14:paraId="2C1AB6C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C0F4B89" w14:textId="77777777" w:rsidR="00270FBF" w:rsidRPr="00E92C22" w:rsidRDefault="00270FBF" w:rsidP="00270FBF">
            <w:pPr>
              <w:jc w:val="center"/>
              <w:rPr>
                <w:rFonts w:ascii="Calibri" w:hAnsi="Calibri" w:cs="Calibri"/>
              </w:rPr>
            </w:pPr>
            <w:r w:rsidRPr="00E92C22">
              <w:rPr>
                <w:rFonts w:ascii="Calibri" w:hAnsi="Calibri" w:cs="Calibri"/>
              </w:rPr>
              <w:t>99455</w:t>
            </w:r>
          </w:p>
        </w:tc>
        <w:tc>
          <w:tcPr>
            <w:tcW w:w="7371" w:type="dxa"/>
            <w:tcBorders>
              <w:top w:val="single" w:sz="4" w:space="0" w:color="auto"/>
              <w:left w:val="single" w:sz="4" w:space="0" w:color="auto"/>
              <w:bottom w:val="single" w:sz="4" w:space="0" w:color="auto"/>
              <w:right w:val="single" w:sz="4" w:space="0" w:color="auto"/>
            </w:tcBorders>
            <w:hideMark/>
          </w:tcPr>
          <w:p w14:paraId="11D178FA" w14:textId="77777777" w:rsidR="00270FBF" w:rsidRPr="00E92C22" w:rsidRDefault="00270FBF" w:rsidP="00270FBF">
            <w:pPr>
              <w:rPr>
                <w:rFonts w:ascii="Calibri" w:hAnsi="Calibri" w:cs="Calibri"/>
              </w:rPr>
            </w:pPr>
            <w:r w:rsidRPr="00E92C22">
              <w:rPr>
                <w:rFonts w:ascii="Calibri" w:hAnsi="Calibri" w:cs="Calibri"/>
              </w:rPr>
              <w:t xml:space="preserve">Fenton SE, </w:t>
            </w:r>
            <w:proofErr w:type="spellStart"/>
            <w:r w:rsidRPr="00E92C22">
              <w:rPr>
                <w:rFonts w:ascii="Calibri" w:hAnsi="Calibri" w:cs="Calibri"/>
              </w:rPr>
              <w:t>Ducatman</w:t>
            </w:r>
            <w:proofErr w:type="spellEnd"/>
            <w:r w:rsidRPr="00E92C22">
              <w:rPr>
                <w:rFonts w:ascii="Calibri" w:hAnsi="Calibri" w:cs="Calibri"/>
              </w:rPr>
              <w:t xml:space="preserve"> A, </w:t>
            </w:r>
            <w:proofErr w:type="spellStart"/>
            <w:r w:rsidRPr="00E92C22">
              <w:rPr>
                <w:rFonts w:ascii="Calibri" w:hAnsi="Calibri" w:cs="Calibri"/>
              </w:rPr>
              <w:t>Boobis</w:t>
            </w:r>
            <w:proofErr w:type="spellEnd"/>
            <w:r w:rsidRPr="00E92C22">
              <w:rPr>
                <w:rFonts w:ascii="Calibri" w:hAnsi="Calibri" w:cs="Calibri"/>
              </w:rPr>
              <w:t xml:space="preserve"> A, et al (2021). Per- and polyfluoroalkyl substance toxicity and human health review: Current state of knowledge and strategies for informing future research. Environ </w:t>
            </w:r>
            <w:proofErr w:type="spellStart"/>
            <w:r w:rsidRPr="00E92C22">
              <w:rPr>
                <w:rFonts w:ascii="Calibri" w:hAnsi="Calibri" w:cs="Calibri"/>
              </w:rPr>
              <w:t>Toxicol</w:t>
            </w:r>
            <w:proofErr w:type="spellEnd"/>
            <w:r w:rsidRPr="00E92C22">
              <w:rPr>
                <w:rFonts w:ascii="Calibri" w:hAnsi="Calibri" w:cs="Calibri"/>
              </w:rPr>
              <w:t xml:space="preserve"> Chem, 40(3): 606-630.</w:t>
            </w:r>
          </w:p>
        </w:tc>
      </w:tr>
      <w:tr w:rsidR="00270FBF" w14:paraId="533A27DC"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7E20333" w14:textId="77777777" w:rsidR="00270FBF" w:rsidRPr="00E92C22" w:rsidRDefault="00270FBF" w:rsidP="00270FBF">
            <w:pPr>
              <w:jc w:val="center"/>
              <w:rPr>
                <w:rFonts w:ascii="Calibri" w:hAnsi="Calibri" w:cs="Calibri"/>
              </w:rPr>
            </w:pPr>
            <w:r w:rsidRPr="00E92C22">
              <w:rPr>
                <w:rFonts w:ascii="Calibri" w:hAnsi="Calibri" w:cs="Calibri"/>
              </w:rPr>
              <w:t>66171</w:t>
            </w:r>
          </w:p>
        </w:tc>
        <w:tc>
          <w:tcPr>
            <w:tcW w:w="7371" w:type="dxa"/>
            <w:tcBorders>
              <w:top w:val="single" w:sz="4" w:space="0" w:color="auto"/>
              <w:left w:val="single" w:sz="4" w:space="0" w:color="auto"/>
              <w:bottom w:val="single" w:sz="4" w:space="0" w:color="auto"/>
              <w:right w:val="single" w:sz="4" w:space="0" w:color="auto"/>
            </w:tcBorders>
            <w:hideMark/>
          </w:tcPr>
          <w:p w14:paraId="54A18362" w14:textId="77777777" w:rsidR="00270FBF" w:rsidRPr="00E92C22" w:rsidRDefault="00270FBF" w:rsidP="00270FBF">
            <w:pPr>
              <w:rPr>
                <w:rFonts w:ascii="Calibri" w:hAnsi="Calibri" w:cs="Calibri"/>
              </w:rPr>
            </w:pPr>
            <w:r w:rsidRPr="006E1170">
              <w:rPr>
                <w:rFonts w:ascii="Calibri" w:hAnsi="Calibri" w:cs="Calibri"/>
                <w:lang w:val="de-DE"/>
              </w:rPr>
              <w:t xml:space="preserve">Fernandez-Soto L, Gonzalez A, Escobar-Jimenez F, et al (1998). </w:t>
            </w:r>
            <w:r w:rsidRPr="00E92C22">
              <w:rPr>
                <w:rFonts w:ascii="Calibri" w:hAnsi="Calibri" w:cs="Calibri"/>
              </w:rPr>
              <w:t>Increased risk of autoimmune thyroid disease in hepatitis C vs hepatitis B before, during, and after discontinuing interferon therapy. Arch Intern Med, 158(13): 1445-8.</w:t>
            </w:r>
          </w:p>
        </w:tc>
      </w:tr>
      <w:tr w:rsidR="00270FBF" w14:paraId="2F4E29E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917F3EB" w14:textId="77777777" w:rsidR="00270FBF" w:rsidRPr="00E92C22" w:rsidRDefault="00270FBF" w:rsidP="00270FBF">
            <w:pPr>
              <w:jc w:val="center"/>
              <w:rPr>
                <w:rFonts w:ascii="Calibri" w:hAnsi="Calibri" w:cs="Calibri"/>
              </w:rPr>
            </w:pPr>
            <w:r w:rsidRPr="00E92C22">
              <w:rPr>
                <w:rFonts w:ascii="Calibri" w:hAnsi="Calibri" w:cs="Calibri"/>
              </w:rPr>
              <w:lastRenderedPageBreak/>
              <w:t>102793</w:t>
            </w:r>
          </w:p>
        </w:tc>
        <w:tc>
          <w:tcPr>
            <w:tcW w:w="7371" w:type="dxa"/>
            <w:tcBorders>
              <w:top w:val="single" w:sz="4" w:space="0" w:color="auto"/>
              <w:left w:val="single" w:sz="4" w:space="0" w:color="auto"/>
              <w:bottom w:val="single" w:sz="4" w:space="0" w:color="auto"/>
              <w:right w:val="single" w:sz="4" w:space="0" w:color="auto"/>
            </w:tcBorders>
            <w:hideMark/>
          </w:tcPr>
          <w:p w14:paraId="26F565C6" w14:textId="77777777" w:rsidR="00270FBF" w:rsidRPr="00E92C22" w:rsidRDefault="00270FBF" w:rsidP="00270FBF">
            <w:pPr>
              <w:rPr>
                <w:rFonts w:ascii="Calibri" w:hAnsi="Calibri" w:cs="Calibri"/>
              </w:rPr>
            </w:pPr>
            <w:r w:rsidRPr="00E92C22">
              <w:rPr>
                <w:rFonts w:ascii="Calibri" w:hAnsi="Calibri" w:cs="Calibri"/>
              </w:rPr>
              <w:t>Ferrari SM, Fallahi P, Antonelli A, et al (2017). Environmental issues in thyroid diseases. Front Endocrinol (Lausanne), 8: 50.</w:t>
            </w:r>
          </w:p>
        </w:tc>
      </w:tr>
      <w:tr w:rsidR="00270FBF" w14:paraId="0697529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4A98B7B" w14:textId="77777777" w:rsidR="00270FBF" w:rsidRPr="00E92C22" w:rsidRDefault="00270FBF" w:rsidP="00270FBF">
            <w:pPr>
              <w:jc w:val="center"/>
              <w:rPr>
                <w:rFonts w:ascii="Calibri" w:hAnsi="Calibri" w:cs="Calibri"/>
              </w:rPr>
            </w:pPr>
            <w:r w:rsidRPr="00E92C22">
              <w:rPr>
                <w:rFonts w:ascii="Calibri" w:hAnsi="Calibri" w:cs="Calibri"/>
              </w:rPr>
              <w:t>49132</w:t>
            </w:r>
          </w:p>
        </w:tc>
        <w:tc>
          <w:tcPr>
            <w:tcW w:w="7371" w:type="dxa"/>
            <w:tcBorders>
              <w:top w:val="single" w:sz="4" w:space="0" w:color="auto"/>
              <w:left w:val="single" w:sz="4" w:space="0" w:color="auto"/>
              <w:bottom w:val="single" w:sz="4" w:space="0" w:color="auto"/>
              <w:right w:val="single" w:sz="4" w:space="0" w:color="auto"/>
            </w:tcBorders>
            <w:hideMark/>
          </w:tcPr>
          <w:p w14:paraId="5758D95B" w14:textId="77777777" w:rsidR="00270FBF" w:rsidRPr="00E92C22" w:rsidRDefault="00270FBF" w:rsidP="00270FBF">
            <w:pPr>
              <w:rPr>
                <w:rFonts w:ascii="Calibri" w:hAnsi="Calibri" w:cs="Calibri"/>
              </w:rPr>
            </w:pPr>
            <w:r w:rsidRPr="00E92C22">
              <w:rPr>
                <w:rFonts w:ascii="Calibri" w:hAnsi="Calibri" w:cs="Calibri"/>
              </w:rPr>
              <w:t xml:space="preserve">Fiore E, </w:t>
            </w:r>
            <w:proofErr w:type="spellStart"/>
            <w:r w:rsidRPr="00E92C22">
              <w:rPr>
                <w:rFonts w:ascii="Calibri" w:hAnsi="Calibri" w:cs="Calibri"/>
              </w:rPr>
              <w:t>Latrofa</w:t>
            </w:r>
            <w:proofErr w:type="spellEnd"/>
            <w:r w:rsidRPr="00E92C22">
              <w:rPr>
                <w:rFonts w:ascii="Calibri" w:hAnsi="Calibri" w:cs="Calibri"/>
              </w:rPr>
              <w:t xml:space="preserve"> F, Vitti P (2015). Iodine, thyroid autoimmunity and cancer. </w:t>
            </w:r>
            <w:proofErr w:type="spellStart"/>
            <w:r w:rsidRPr="00E92C22">
              <w:rPr>
                <w:rFonts w:ascii="Calibri" w:hAnsi="Calibri" w:cs="Calibri"/>
              </w:rPr>
              <w:t>Eur</w:t>
            </w:r>
            <w:proofErr w:type="spellEnd"/>
            <w:r w:rsidRPr="00E92C22">
              <w:rPr>
                <w:rFonts w:ascii="Calibri" w:hAnsi="Calibri" w:cs="Calibri"/>
              </w:rPr>
              <w:t xml:space="preserve"> Thyroid J, 4(1): 26-35.</w:t>
            </w:r>
          </w:p>
        </w:tc>
      </w:tr>
      <w:tr w:rsidR="00270FBF" w14:paraId="155E571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647950F" w14:textId="77777777" w:rsidR="00270FBF" w:rsidRPr="00E92C22" w:rsidRDefault="00270FBF" w:rsidP="00270FBF">
            <w:pPr>
              <w:jc w:val="center"/>
              <w:rPr>
                <w:rFonts w:ascii="Calibri" w:hAnsi="Calibri" w:cs="Calibri"/>
              </w:rPr>
            </w:pPr>
            <w:r w:rsidRPr="00E92C22">
              <w:rPr>
                <w:rFonts w:ascii="Calibri" w:hAnsi="Calibri" w:cs="Calibri"/>
              </w:rPr>
              <w:t>102794</w:t>
            </w:r>
          </w:p>
        </w:tc>
        <w:tc>
          <w:tcPr>
            <w:tcW w:w="7371" w:type="dxa"/>
            <w:tcBorders>
              <w:top w:val="single" w:sz="4" w:space="0" w:color="auto"/>
              <w:left w:val="single" w:sz="4" w:space="0" w:color="auto"/>
              <w:bottom w:val="single" w:sz="4" w:space="0" w:color="auto"/>
              <w:right w:val="single" w:sz="4" w:space="0" w:color="auto"/>
            </w:tcBorders>
            <w:hideMark/>
          </w:tcPr>
          <w:p w14:paraId="332E617A" w14:textId="77777777" w:rsidR="00270FBF" w:rsidRPr="00E92C22" w:rsidRDefault="00270FBF" w:rsidP="00270FBF">
            <w:pPr>
              <w:rPr>
                <w:rFonts w:ascii="Calibri" w:hAnsi="Calibri" w:cs="Calibri"/>
              </w:rPr>
            </w:pPr>
            <w:r w:rsidRPr="00E92C22">
              <w:rPr>
                <w:rFonts w:ascii="Calibri" w:hAnsi="Calibri" w:cs="Calibri"/>
              </w:rPr>
              <w:t>Frohlich E, Wahl R (2017). Thyroid autoimmunity: role of anti-thyroid antibodies in thyroid and extra-thyroidal diseases. Front Immunol, 8: 521.</w:t>
            </w:r>
          </w:p>
        </w:tc>
      </w:tr>
      <w:tr w:rsidR="00270FBF" w14:paraId="71F6498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F3F0788" w14:textId="77777777" w:rsidR="00270FBF" w:rsidRPr="00E92C22" w:rsidRDefault="00270FBF" w:rsidP="00270FBF">
            <w:pPr>
              <w:jc w:val="center"/>
              <w:rPr>
                <w:rFonts w:ascii="Calibri" w:hAnsi="Calibri" w:cs="Calibri"/>
              </w:rPr>
            </w:pPr>
            <w:r w:rsidRPr="00E92C22">
              <w:rPr>
                <w:rFonts w:ascii="Calibri" w:hAnsi="Calibri" w:cs="Calibri"/>
              </w:rPr>
              <w:t>102795</w:t>
            </w:r>
          </w:p>
        </w:tc>
        <w:tc>
          <w:tcPr>
            <w:tcW w:w="7371" w:type="dxa"/>
            <w:tcBorders>
              <w:top w:val="single" w:sz="4" w:space="0" w:color="auto"/>
              <w:left w:val="single" w:sz="4" w:space="0" w:color="auto"/>
              <w:bottom w:val="single" w:sz="4" w:space="0" w:color="auto"/>
              <w:right w:val="single" w:sz="4" w:space="0" w:color="auto"/>
            </w:tcBorders>
            <w:hideMark/>
          </w:tcPr>
          <w:p w14:paraId="1010DCE0" w14:textId="77777777" w:rsidR="00270FBF" w:rsidRPr="00E92C22" w:rsidRDefault="00270FBF" w:rsidP="00270FBF">
            <w:pPr>
              <w:rPr>
                <w:rFonts w:ascii="Calibri" w:hAnsi="Calibri" w:cs="Calibri"/>
              </w:rPr>
            </w:pPr>
            <w:proofErr w:type="spellStart"/>
            <w:r w:rsidRPr="00E92C22">
              <w:rPr>
                <w:rFonts w:ascii="Calibri" w:hAnsi="Calibri" w:cs="Calibri"/>
              </w:rPr>
              <w:t>Galofre</w:t>
            </w:r>
            <w:proofErr w:type="spellEnd"/>
            <w:r w:rsidRPr="00E92C22">
              <w:rPr>
                <w:rFonts w:ascii="Calibri" w:hAnsi="Calibri" w:cs="Calibri"/>
              </w:rPr>
              <w:t xml:space="preserve"> JC, Haber RS, Mitchell AA, (2010). Increased postpartum thyroxine replacement in Hashimoto's thyroiditis. Thyroid, 20(8): 901-8.</w:t>
            </w:r>
          </w:p>
        </w:tc>
      </w:tr>
      <w:tr w:rsidR="00270FBF" w14:paraId="1EEA727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06EA252" w14:textId="77777777" w:rsidR="00270FBF" w:rsidRPr="00E92C22" w:rsidRDefault="00270FBF" w:rsidP="00270FBF">
            <w:pPr>
              <w:jc w:val="center"/>
              <w:rPr>
                <w:rFonts w:ascii="Calibri" w:hAnsi="Calibri" w:cs="Calibri"/>
              </w:rPr>
            </w:pPr>
            <w:r w:rsidRPr="00E92C22">
              <w:rPr>
                <w:rFonts w:ascii="Calibri" w:hAnsi="Calibri" w:cs="Calibri"/>
              </w:rPr>
              <w:t>66163</w:t>
            </w:r>
          </w:p>
        </w:tc>
        <w:tc>
          <w:tcPr>
            <w:tcW w:w="7371" w:type="dxa"/>
            <w:tcBorders>
              <w:top w:val="single" w:sz="4" w:space="0" w:color="auto"/>
              <w:left w:val="single" w:sz="4" w:space="0" w:color="auto"/>
              <w:bottom w:val="single" w:sz="4" w:space="0" w:color="auto"/>
              <w:right w:val="single" w:sz="4" w:space="0" w:color="auto"/>
            </w:tcBorders>
            <w:hideMark/>
          </w:tcPr>
          <w:p w14:paraId="7F55F023" w14:textId="77777777" w:rsidR="00270FBF" w:rsidRPr="00E92C22" w:rsidRDefault="00270FBF" w:rsidP="00270FBF">
            <w:pPr>
              <w:rPr>
                <w:rFonts w:ascii="Calibri" w:hAnsi="Calibri" w:cs="Calibri"/>
              </w:rPr>
            </w:pPr>
            <w:r w:rsidRPr="00E92C22">
              <w:rPr>
                <w:rFonts w:ascii="Calibri" w:hAnsi="Calibri" w:cs="Calibri"/>
              </w:rPr>
              <w:t xml:space="preserve">Ganne-Carrie N, Medini A, </w:t>
            </w:r>
            <w:proofErr w:type="spellStart"/>
            <w:r w:rsidRPr="00E92C22">
              <w:rPr>
                <w:rFonts w:ascii="Calibri" w:hAnsi="Calibri" w:cs="Calibri"/>
              </w:rPr>
              <w:t>Coderc</w:t>
            </w:r>
            <w:proofErr w:type="spellEnd"/>
            <w:r w:rsidRPr="00E92C22">
              <w:rPr>
                <w:rFonts w:ascii="Calibri" w:hAnsi="Calibri" w:cs="Calibri"/>
              </w:rPr>
              <w:t xml:space="preserve"> E, et al (2000). Latent autoimmune thyroiditis in untreated patients with HCV chronic hepatitis: a case-control study. J </w:t>
            </w:r>
            <w:proofErr w:type="spellStart"/>
            <w:r w:rsidRPr="00E92C22">
              <w:rPr>
                <w:rFonts w:ascii="Calibri" w:hAnsi="Calibri" w:cs="Calibri"/>
              </w:rPr>
              <w:t>Autoimmun</w:t>
            </w:r>
            <w:proofErr w:type="spellEnd"/>
            <w:r w:rsidRPr="00E92C22">
              <w:rPr>
                <w:rFonts w:ascii="Calibri" w:hAnsi="Calibri" w:cs="Calibri"/>
              </w:rPr>
              <w:t>, 14(2): 189-93.</w:t>
            </w:r>
          </w:p>
        </w:tc>
      </w:tr>
      <w:tr w:rsidR="00270FBF" w14:paraId="7EA98B7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335191E" w14:textId="77777777" w:rsidR="00270FBF" w:rsidRPr="00E92C22" w:rsidRDefault="00270FBF" w:rsidP="00270FBF">
            <w:pPr>
              <w:jc w:val="center"/>
              <w:rPr>
                <w:rFonts w:ascii="Calibri" w:hAnsi="Calibri" w:cs="Calibri"/>
              </w:rPr>
            </w:pPr>
            <w:r w:rsidRPr="00E92C22">
              <w:rPr>
                <w:rFonts w:ascii="Calibri" w:hAnsi="Calibri" w:cs="Calibri"/>
              </w:rPr>
              <w:t>64928</w:t>
            </w:r>
          </w:p>
        </w:tc>
        <w:tc>
          <w:tcPr>
            <w:tcW w:w="7371" w:type="dxa"/>
            <w:tcBorders>
              <w:top w:val="single" w:sz="4" w:space="0" w:color="auto"/>
              <w:left w:val="single" w:sz="4" w:space="0" w:color="auto"/>
              <w:bottom w:val="single" w:sz="4" w:space="0" w:color="auto"/>
              <w:right w:val="single" w:sz="4" w:space="0" w:color="auto"/>
            </w:tcBorders>
            <w:hideMark/>
          </w:tcPr>
          <w:p w14:paraId="471152FD" w14:textId="77777777" w:rsidR="00270FBF" w:rsidRPr="00E92C22" w:rsidRDefault="00270FBF" w:rsidP="00270FBF">
            <w:pPr>
              <w:rPr>
                <w:rFonts w:ascii="Calibri" w:hAnsi="Calibri" w:cs="Calibri"/>
              </w:rPr>
            </w:pPr>
            <w:r w:rsidRPr="006E1170">
              <w:rPr>
                <w:rFonts w:ascii="Calibri" w:hAnsi="Calibri" w:cs="Calibri"/>
                <w:lang w:val="de-DE"/>
              </w:rPr>
              <w:t xml:space="preserve">Gao H, Li C, Mu R, et al (2011). </w:t>
            </w:r>
            <w:r w:rsidRPr="00E92C22">
              <w:rPr>
                <w:rFonts w:ascii="Calibri" w:hAnsi="Calibri" w:cs="Calibri"/>
              </w:rPr>
              <w:t>Subclinical hypothyroidism and its association with lupus nephritis: a case control study in a large cohort of Chinese systemic lupus erythematosus patients. Lupus, 20(10): 1035-41.</w:t>
            </w:r>
          </w:p>
        </w:tc>
      </w:tr>
      <w:tr w:rsidR="00270FBF" w14:paraId="38899A4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959944D" w14:textId="77777777" w:rsidR="00270FBF" w:rsidRPr="00E92C22" w:rsidRDefault="00270FBF" w:rsidP="00270FBF">
            <w:pPr>
              <w:jc w:val="center"/>
              <w:rPr>
                <w:rFonts w:ascii="Calibri" w:hAnsi="Calibri" w:cs="Calibri"/>
              </w:rPr>
            </w:pPr>
            <w:r w:rsidRPr="00E92C22">
              <w:rPr>
                <w:rFonts w:ascii="Calibri" w:hAnsi="Calibri" w:cs="Calibri"/>
              </w:rPr>
              <w:t>102796</w:t>
            </w:r>
          </w:p>
        </w:tc>
        <w:tc>
          <w:tcPr>
            <w:tcW w:w="7371" w:type="dxa"/>
            <w:tcBorders>
              <w:top w:val="single" w:sz="4" w:space="0" w:color="auto"/>
              <w:left w:val="single" w:sz="4" w:space="0" w:color="auto"/>
              <w:bottom w:val="single" w:sz="4" w:space="0" w:color="auto"/>
              <w:right w:val="single" w:sz="4" w:space="0" w:color="auto"/>
            </w:tcBorders>
            <w:hideMark/>
          </w:tcPr>
          <w:p w14:paraId="0C9B2FE8" w14:textId="77777777" w:rsidR="00270FBF" w:rsidRPr="00E92C22" w:rsidRDefault="00270FBF" w:rsidP="00270FBF">
            <w:pPr>
              <w:rPr>
                <w:rFonts w:ascii="Calibri" w:hAnsi="Calibri" w:cs="Calibri"/>
              </w:rPr>
            </w:pPr>
            <w:r w:rsidRPr="006E1170">
              <w:rPr>
                <w:rFonts w:ascii="Calibri" w:hAnsi="Calibri" w:cs="Calibri"/>
                <w:lang w:val="de-DE"/>
              </w:rPr>
              <w:t xml:space="preserve">Garcia-Garcia E, Vazquez-Lopez MA, Garcia-Fuentes E, et al (2016). </w:t>
            </w:r>
            <w:r w:rsidRPr="00E92C22">
              <w:rPr>
                <w:rFonts w:ascii="Calibri" w:hAnsi="Calibri" w:cs="Calibri"/>
              </w:rPr>
              <w:t xml:space="preserve">Thyroid function and thyroid autoimmunity in relation to weight status and cardiovascular risk factors in children and adolescents: A population-based study. J Clin Res </w:t>
            </w:r>
            <w:proofErr w:type="spellStart"/>
            <w:r w:rsidRPr="00E92C22">
              <w:rPr>
                <w:rFonts w:ascii="Calibri" w:hAnsi="Calibri" w:cs="Calibri"/>
              </w:rPr>
              <w:t>Pediatr</w:t>
            </w:r>
            <w:proofErr w:type="spellEnd"/>
            <w:r w:rsidRPr="00E92C22">
              <w:rPr>
                <w:rFonts w:ascii="Calibri" w:hAnsi="Calibri" w:cs="Calibri"/>
              </w:rPr>
              <w:t xml:space="preserve"> Endocrinol, 8(2): 157-62.</w:t>
            </w:r>
          </w:p>
        </w:tc>
      </w:tr>
      <w:tr w:rsidR="00270FBF" w14:paraId="05DF5B5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1F00B62" w14:textId="77777777" w:rsidR="00270FBF" w:rsidRPr="00E92C22" w:rsidRDefault="00270FBF" w:rsidP="00270FBF">
            <w:pPr>
              <w:jc w:val="center"/>
              <w:rPr>
                <w:rFonts w:ascii="Calibri" w:hAnsi="Calibri" w:cs="Calibri"/>
              </w:rPr>
            </w:pPr>
            <w:r w:rsidRPr="00E92C22">
              <w:rPr>
                <w:rFonts w:ascii="Calibri" w:hAnsi="Calibri" w:cs="Calibri"/>
              </w:rPr>
              <w:t>80728</w:t>
            </w:r>
          </w:p>
        </w:tc>
        <w:tc>
          <w:tcPr>
            <w:tcW w:w="7371" w:type="dxa"/>
            <w:tcBorders>
              <w:top w:val="single" w:sz="4" w:space="0" w:color="auto"/>
              <w:left w:val="single" w:sz="4" w:space="0" w:color="auto"/>
              <w:bottom w:val="single" w:sz="4" w:space="0" w:color="auto"/>
              <w:right w:val="single" w:sz="4" w:space="0" w:color="auto"/>
            </w:tcBorders>
            <w:hideMark/>
          </w:tcPr>
          <w:p w14:paraId="40F15890" w14:textId="77777777" w:rsidR="00270FBF" w:rsidRPr="00E92C22" w:rsidRDefault="00270FBF" w:rsidP="00270FBF">
            <w:pPr>
              <w:rPr>
                <w:rFonts w:ascii="Calibri" w:hAnsi="Calibri" w:cs="Calibri"/>
              </w:rPr>
            </w:pPr>
            <w:r w:rsidRPr="006E1170">
              <w:rPr>
                <w:rFonts w:ascii="Calibri" w:hAnsi="Calibri" w:cs="Calibri"/>
                <w:lang w:val="de-DE"/>
              </w:rPr>
              <w:t xml:space="preserve">Gilbert ES, Sokolnikov ME, Preston DL, et al (2013). </w:t>
            </w:r>
            <w:r w:rsidRPr="00E92C22">
              <w:rPr>
                <w:rFonts w:ascii="Calibri" w:hAnsi="Calibri" w:cs="Calibri"/>
              </w:rPr>
              <w:t xml:space="preserve">Lung cancer risks from plutonium: an updated analysis of data from the Mayak worker cohort. </w:t>
            </w:r>
            <w:proofErr w:type="spellStart"/>
            <w:r w:rsidRPr="00E92C22">
              <w:rPr>
                <w:rFonts w:ascii="Calibri" w:hAnsi="Calibri" w:cs="Calibri"/>
              </w:rPr>
              <w:t>Radiat</w:t>
            </w:r>
            <w:proofErr w:type="spellEnd"/>
            <w:r w:rsidRPr="00E92C22">
              <w:rPr>
                <w:rFonts w:ascii="Calibri" w:hAnsi="Calibri" w:cs="Calibri"/>
              </w:rPr>
              <w:t xml:space="preserve"> Res, 179(3): 332-42.</w:t>
            </w:r>
          </w:p>
        </w:tc>
      </w:tr>
      <w:tr w:rsidR="00270FBF" w14:paraId="2690952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4C0CA76" w14:textId="77777777" w:rsidR="00270FBF" w:rsidRPr="00E92C22" w:rsidRDefault="00270FBF" w:rsidP="00270FBF">
            <w:pPr>
              <w:jc w:val="center"/>
              <w:rPr>
                <w:rFonts w:ascii="Calibri" w:hAnsi="Calibri" w:cs="Calibri"/>
              </w:rPr>
            </w:pPr>
            <w:r w:rsidRPr="00E92C22">
              <w:rPr>
                <w:rFonts w:ascii="Calibri" w:hAnsi="Calibri" w:cs="Calibri"/>
              </w:rPr>
              <w:t>67268</w:t>
            </w:r>
          </w:p>
        </w:tc>
        <w:tc>
          <w:tcPr>
            <w:tcW w:w="7371" w:type="dxa"/>
            <w:tcBorders>
              <w:top w:val="single" w:sz="4" w:space="0" w:color="auto"/>
              <w:left w:val="single" w:sz="4" w:space="0" w:color="auto"/>
              <w:bottom w:val="single" w:sz="4" w:space="0" w:color="auto"/>
              <w:right w:val="single" w:sz="4" w:space="0" w:color="auto"/>
            </w:tcBorders>
            <w:hideMark/>
          </w:tcPr>
          <w:p w14:paraId="5323FC3D" w14:textId="77777777" w:rsidR="00270FBF" w:rsidRPr="00E92C22" w:rsidRDefault="00270FBF" w:rsidP="00270FBF">
            <w:pPr>
              <w:rPr>
                <w:rFonts w:ascii="Calibri" w:hAnsi="Calibri" w:cs="Calibri"/>
              </w:rPr>
            </w:pPr>
            <w:r w:rsidRPr="00E92C22">
              <w:rPr>
                <w:rFonts w:ascii="Calibri" w:hAnsi="Calibri" w:cs="Calibri"/>
              </w:rPr>
              <w:t xml:space="preserve">Goh SY, Ho SC, Seah LL, et al (2004). Thyroid autoantibody profiles in ophthalmic dominant and thyroid dominant Graves' disease differ and suggest ophthalmopathy is a </w:t>
            </w:r>
            <w:proofErr w:type="spellStart"/>
            <w:r w:rsidRPr="00E92C22">
              <w:rPr>
                <w:rFonts w:ascii="Calibri" w:hAnsi="Calibri" w:cs="Calibri"/>
              </w:rPr>
              <w:t>multiantigenic</w:t>
            </w:r>
            <w:proofErr w:type="spellEnd"/>
            <w:r w:rsidRPr="00E92C22">
              <w:rPr>
                <w:rFonts w:ascii="Calibri" w:hAnsi="Calibri" w:cs="Calibri"/>
              </w:rPr>
              <w:t xml:space="preserve"> disease. Clin Endocrinol (</w:t>
            </w:r>
            <w:proofErr w:type="spellStart"/>
            <w:r w:rsidRPr="00E92C22">
              <w:rPr>
                <w:rFonts w:ascii="Calibri" w:hAnsi="Calibri" w:cs="Calibri"/>
              </w:rPr>
              <w:t>Oxf</w:t>
            </w:r>
            <w:proofErr w:type="spellEnd"/>
            <w:r w:rsidRPr="00E92C22">
              <w:rPr>
                <w:rFonts w:ascii="Calibri" w:hAnsi="Calibri" w:cs="Calibri"/>
              </w:rPr>
              <w:t>), 60(5): 600-7. [Abstract]</w:t>
            </w:r>
          </w:p>
        </w:tc>
      </w:tr>
      <w:tr w:rsidR="00270FBF" w14:paraId="2C3A9BD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3B74068" w14:textId="77777777" w:rsidR="00270FBF" w:rsidRPr="00E92C22" w:rsidRDefault="00270FBF" w:rsidP="00270FBF">
            <w:pPr>
              <w:jc w:val="center"/>
              <w:rPr>
                <w:rFonts w:ascii="Calibri" w:hAnsi="Calibri" w:cs="Calibri"/>
              </w:rPr>
            </w:pPr>
            <w:r w:rsidRPr="00E92C22">
              <w:rPr>
                <w:rFonts w:ascii="Calibri" w:hAnsi="Calibri" w:cs="Calibri"/>
              </w:rPr>
              <w:t>66927</w:t>
            </w:r>
          </w:p>
        </w:tc>
        <w:tc>
          <w:tcPr>
            <w:tcW w:w="7371" w:type="dxa"/>
            <w:tcBorders>
              <w:top w:val="single" w:sz="4" w:space="0" w:color="auto"/>
              <w:left w:val="single" w:sz="4" w:space="0" w:color="auto"/>
              <w:bottom w:val="single" w:sz="4" w:space="0" w:color="auto"/>
              <w:right w:val="single" w:sz="4" w:space="0" w:color="auto"/>
            </w:tcBorders>
            <w:hideMark/>
          </w:tcPr>
          <w:p w14:paraId="782E8894" w14:textId="77777777" w:rsidR="00270FBF" w:rsidRPr="00E92C22" w:rsidRDefault="00270FBF" w:rsidP="00270FBF">
            <w:pPr>
              <w:rPr>
                <w:rFonts w:ascii="Calibri" w:hAnsi="Calibri" w:cs="Calibri"/>
              </w:rPr>
            </w:pPr>
            <w:r w:rsidRPr="00E92C22">
              <w:rPr>
                <w:rFonts w:ascii="Calibri" w:hAnsi="Calibri" w:cs="Calibri"/>
              </w:rPr>
              <w:t>Goldner WS, Sandler DP, Yu F, et al (2010). Pesticide use and thyroid disease among women in the Agricultural Health Study. Am J Epidemiol, 171(4): 455-64.</w:t>
            </w:r>
          </w:p>
        </w:tc>
      </w:tr>
      <w:tr w:rsidR="00270FBF" w14:paraId="236AC32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F7852C0" w14:textId="77777777" w:rsidR="00270FBF" w:rsidRPr="00E92C22" w:rsidRDefault="00270FBF" w:rsidP="00270FBF">
            <w:pPr>
              <w:jc w:val="center"/>
              <w:rPr>
                <w:rFonts w:ascii="Calibri" w:hAnsi="Calibri" w:cs="Calibri"/>
              </w:rPr>
            </w:pPr>
            <w:r w:rsidRPr="00E92C22">
              <w:rPr>
                <w:rFonts w:ascii="Calibri" w:hAnsi="Calibri" w:cs="Calibri"/>
              </w:rPr>
              <w:t>49129</w:t>
            </w:r>
          </w:p>
        </w:tc>
        <w:tc>
          <w:tcPr>
            <w:tcW w:w="7371" w:type="dxa"/>
            <w:tcBorders>
              <w:top w:val="single" w:sz="4" w:space="0" w:color="auto"/>
              <w:left w:val="single" w:sz="4" w:space="0" w:color="auto"/>
              <w:bottom w:val="single" w:sz="4" w:space="0" w:color="auto"/>
              <w:right w:val="single" w:sz="4" w:space="0" w:color="auto"/>
            </w:tcBorders>
            <w:hideMark/>
          </w:tcPr>
          <w:p w14:paraId="260B87F0" w14:textId="77777777" w:rsidR="00270FBF" w:rsidRPr="00E92C22" w:rsidRDefault="00270FBF" w:rsidP="00270FBF">
            <w:pPr>
              <w:rPr>
                <w:rFonts w:ascii="Calibri" w:hAnsi="Calibri" w:cs="Calibri"/>
              </w:rPr>
            </w:pPr>
            <w:r w:rsidRPr="00E92C22">
              <w:rPr>
                <w:rFonts w:ascii="Calibri" w:hAnsi="Calibri" w:cs="Calibri"/>
              </w:rPr>
              <w:t xml:space="preserve">Goldner WS, Sandler DP, Yu F, et al (2013). Hypothyroidism and pesticide use among male private pesticide applicators in the agricultural health study. J </w:t>
            </w:r>
            <w:proofErr w:type="spellStart"/>
            <w:r w:rsidRPr="00E92C22">
              <w:rPr>
                <w:rFonts w:ascii="Calibri" w:hAnsi="Calibri" w:cs="Calibri"/>
              </w:rPr>
              <w:t>Occup</w:t>
            </w:r>
            <w:proofErr w:type="spellEnd"/>
            <w:r w:rsidRPr="00E92C22">
              <w:rPr>
                <w:rFonts w:ascii="Calibri" w:hAnsi="Calibri" w:cs="Calibri"/>
              </w:rPr>
              <w:t xml:space="preserve"> Environ Med, 55(10): 1171-8.</w:t>
            </w:r>
          </w:p>
        </w:tc>
      </w:tr>
      <w:tr w:rsidR="00270FBF" w14:paraId="69F5FC6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1CD7526" w14:textId="77777777" w:rsidR="00270FBF" w:rsidRPr="00E92C22" w:rsidRDefault="00270FBF" w:rsidP="00270FBF">
            <w:pPr>
              <w:jc w:val="center"/>
              <w:rPr>
                <w:rFonts w:ascii="Calibri" w:hAnsi="Calibri" w:cs="Calibri"/>
              </w:rPr>
            </w:pPr>
            <w:r w:rsidRPr="00E92C22">
              <w:rPr>
                <w:rFonts w:ascii="Calibri" w:hAnsi="Calibri" w:cs="Calibri"/>
              </w:rPr>
              <w:t>65647</w:t>
            </w:r>
          </w:p>
        </w:tc>
        <w:tc>
          <w:tcPr>
            <w:tcW w:w="7371" w:type="dxa"/>
            <w:tcBorders>
              <w:top w:val="single" w:sz="4" w:space="0" w:color="auto"/>
              <w:left w:val="single" w:sz="4" w:space="0" w:color="auto"/>
              <w:bottom w:val="single" w:sz="4" w:space="0" w:color="auto"/>
              <w:right w:val="single" w:sz="4" w:space="0" w:color="auto"/>
            </w:tcBorders>
            <w:hideMark/>
          </w:tcPr>
          <w:p w14:paraId="521425AB" w14:textId="77777777" w:rsidR="00270FBF" w:rsidRPr="00E92C22" w:rsidRDefault="00270FBF" w:rsidP="00270FBF">
            <w:pPr>
              <w:rPr>
                <w:rFonts w:ascii="Calibri" w:hAnsi="Calibri" w:cs="Calibri"/>
              </w:rPr>
            </w:pPr>
            <w:r w:rsidRPr="00E92C22">
              <w:rPr>
                <w:rFonts w:ascii="Calibri" w:hAnsi="Calibri" w:cs="Calibri"/>
              </w:rPr>
              <w:t xml:space="preserve">Gonzalez A, Recio </w:t>
            </w:r>
            <w:proofErr w:type="spellStart"/>
            <w:r w:rsidRPr="00E92C22">
              <w:rPr>
                <w:rFonts w:ascii="Calibri" w:hAnsi="Calibri" w:cs="Calibri"/>
              </w:rPr>
              <w:t>Cordov</w:t>
            </w:r>
            <w:proofErr w:type="spellEnd"/>
            <w:r w:rsidRPr="00E92C22">
              <w:rPr>
                <w:rFonts w:ascii="Calibri" w:hAnsi="Calibri" w:cs="Calibri"/>
              </w:rPr>
              <w:t xml:space="preserve"> JM, Rodriguez-Garcia JL, et al (2010). Episodes of thyrotoxicosis in Hashimoto's thyroiditis. Minerva Endocrinol, 35(1): 35-6.</w:t>
            </w:r>
          </w:p>
        </w:tc>
      </w:tr>
      <w:tr w:rsidR="00270FBF" w14:paraId="38C201A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CE172E9" w14:textId="77777777" w:rsidR="00270FBF" w:rsidRPr="00E92C22" w:rsidRDefault="00270FBF" w:rsidP="00270FBF">
            <w:pPr>
              <w:jc w:val="center"/>
              <w:rPr>
                <w:rFonts w:ascii="Calibri" w:hAnsi="Calibri" w:cs="Calibri"/>
              </w:rPr>
            </w:pPr>
            <w:r w:rsidRPr="00E92C22">
              <w:rPr>
                <w:rFonts w:ascii="Calibri" w:hAnsi="Calibri" w:cs="Calibri"/>
              </w:rPr>
              <w:t>65352</w:t>
            </w:r>
          </w:p>
        </w:tc>
        <w:tc>
          <w:tcPr>
            <w:tcW w:w="7371" w:type="dxa"/>
            <w:tcBorders>
              <w:top w:val="single" w:sz="4" w:space="0" w:color="auto"/>
              <w:left w:val="single" w:sz="4" w:space="0" w:color="auto"/>
              <w:bottom w:val="single" w:sz="4" w:space="0" w:color="auto"/>
              <w:right w:val="single" w:sz="4" w:space="0" w:color="auto"/>
            </w:tcBorders>
            <w:hideMark/>
          </w:tcPr>
          <w:p w14:paraId="1002068D" w14:textId="77777777" w:rsidR="00270FBF" w:rsidRPr="00E92C22" w:rsidRDefault="00270FBF" w:rsidP="00270FBF">
            <w:pPr>
              <w:rPr>
                <w:rFonts w:ascii="Calibri" w:hAnsi="Calibri" w:cs="Calibri"/>
              </w:rPr>
            </w:pPr>
            <w:r w:rsidRPr="006E1170">
              <w:rPr>
                <w:rFonts w:ascii="Calibri" w:hAnsi="Calibri" w:cs="Calibri"/>
                <w:lang w:val="de-DE"/>
              </w:rPr>
              <w:t xml:space="preserve">Goodman JE, Kerper LE, Boyce CP, et al (2010). </w:t>
            </w:r>
            <w:r w:rsidRPr="00E92C22">
              <w:rPr>
                <w:rFonts w:ascii="Calibri" w:hAnsi="Calibri" w:cs="Calibri"/>
              </w:rPr>
              <w:t xml:space="preserve">Weight-of-evidence analysis of human exposures to dioxins and dioxin-like compounds and associations with thyroid hormone levels during early development. </w:t>
            </w:r>
            <w:proofErr w:type="spellStart"/>
            <w:r w:rsidRPr="00E92C22">
              <w:rPr>
                <w:rFonts w:ascii="Calibri" w:hAnsi="Calibri" w:cs="Calibri"/>
              </w:rPr>
              <w:t>Regul</w:t>
            </w:r>
            <w:proofErr w:type="spellEnd"/>
            <w:r w:rsidRPr="00E92C22">
              <w:rPr>
                <w:rFonts w:ascii="Calibri" w:hAnsi="Calibri" w:cs="Calibri"/>
              </w:rPr>
              <w:t xml:space="preserve"> </w:t>
            </w:r>
            <w:proofErr w:type="spellStart"/>
            <w:r w:rsidRPr="00E92C22">
              <w:rPr>
                <w:rFonts w:ascii="Calibri" w:hAnsi="Calibri" w:cs="Calibri"/>
              </w:rPr>
              <w:t>Toxicol</w:t>
            </w:r>
            <w:proofErr w:type="spellEnd"/>
            <w:r w:rsidRPr="00E92C22">
              <w:rPr>
                <w:rFonts w:ascii="Calibri" w:hAnsi="Calibri" w:cs="Calibri"/>
              </w:rPr>
              <w:t xml:space="preserve"> </w:t>
            </w:r>
            <w:proofErr w:type="spellStart"/>
            <w:r w:rsidRPr="00E92C22">
              <w:rPr>
                <w:rFonts w:ascii="Calibri" w:hAnsi="Calibri" w:cs="Calibri"/>
              </w:rPr>
              <w:t>Pharmacol</w:t>
            </w:r>
            <w:proofErr w:type="spellEnd"/>
            <w:r w:rsidRPr="00E92C22">
              <w:rPr>
                <w:rFonts w:ascii="Calibri" w:hAnsi="Calibri" w:cs="Calibri"/>
              </w:rPr>
              <w:t>, 58(1): 79-99.</w:t>
            </w:r>
          </w:p>
        </w:tc>
      </w:tr>
      <w:tr w:rsidR="00270FBF" w14:paraId="736FBE4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5C62083" w14:textId="77777777" w:rsidR="00270FBF" w:rsidRPr="00E92C22" w:rsidRDefault="00270FBF" w:rsidP="00270FBF">
            <w:pPr>
              <w:jc w:val="center"/>
              <w:rPr>
                <w:rFonts w:ascii="Calibri" w:hAnsi="Calibri" w:cs="Calibri"/>
              </w:rPr>
            </w:pPr>
            <w:r w:rsidRPr="00E92C22">
              <w:rPr>
                <w:rFonts w:ascii="Calibri" w:hAnsi="Calibri" w:cs="Calibri"/>
              </w:rPr>
              <w:t>98945</w:t>
            </w:r>
          </w:p>
        </w:tc>
        <w:tc>
          <w:tcPr>
            <w:tcW w:w="7371" w:type="dxa"/>
            <w:tcBorders>
              <w:top w:val="single" w:sz="4" w:space="0" w:color="auto"/>
              <w:left w:val="single" w:sz="4" w:space="0" w:color="auto"/>
              <w:bottom w:val="single" w:sz="4" w:space="0" w:color="auto"/>
              <w:right w:val="single" w:sz="4" w:space="0" w:color="auto"/>
            </w:tcBorders>
            <w:hideMark/>
          </w:tcPr>
          <w:p w14:paraId="1CDA07F3" w14:textId="77777777" w:rsidR="00270FBF" w:rsidRPr="00E92C22" w:rsidRDefault="00270FBF" w:rsidP="00270FBF">
            <w:pPr>
              <w:rPr>
                <w:rFonts w:ascii="Calibri" w:hAnsi="Calibri" w:cs="Calibri"/>
              </w:rPr>
            </w:pPr>
            <w:proofErr w:type="spellStart"/>
            <w:r w:rsidRPr="00E92C22">
              <w:rPr>
                <w:rFonts w:ascii="Calibri" w:hAnsi="Calibri" w:cs="Calibri"/>
              </w:rPr>
              <w:t>Gorini</w:t>
            </w:r>
            <w:proofErr w:type="spellEnd"/>
            <w:r w:rsidRPr="00E92C22">
              <w:rPr>
                <w:rFonts w:ascii="Calibri" w:hAnsi="Calibri" w:cs="Calibri"/>
              </w:rPr>
              <w:t xml:space="preserve"> F, </w:t>
            </w:r>
            <w:proofErr w:type="spellStart"/>
            <w:r w:rsidRPr="00E92C22">
              <w:rPr>
                <w:rFonts w:ascii="Calibri" w:hAnsi="Calibri" w:cs="Calibri"/>
              </w:rPr>
              <w:t>Bustaffa</w:t>
            </w:r>
            <w:proofErr w:type="spellEnd"/>
            <w:r w:rsidRPr="00E92C22">
              <w:rPr>
                <w:rFonts w:ascii="Calibri" w:hAnsi="Calibri" w:cs="Calibri"/>
              </w:rPr>
              <w:t xml:space="preserve"> E, Coi A, et al (2020). Bisphenols as environmental triggers of thyroid dysfunction: clues and evidence. Int J Environ Res Public Health, 17(8): 2654.</w:t>
            </w:r>
          </w:p>
        </w:tc>
      </w:tr>
      <w:tr w:rsidR="00270FBF" w14:paraId="28D6197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0E2C0AC" w14:textId="77777777" w:rsidR="00270FBF" w:rsidRPr="00E92C22" w:rsidRDefault="00270FBF" w:rsidP="00270FBF">
            <w:pPr>
              <w:jc w:val="center"/>
              <w:rPr>
                <w:rFonts w:ascii="Calibri" w:hAnsi="Calibri" w:cs="Calibri"/>
              </w:rPr>
            </w:pPr>
            <w:r w:rsidRPr="00E92C22">
              <w:rPr>
                <w:rFonts w:ascii="Calibri" w:hAnsi="Calibri" w:cs="Calibri"/>
              </w:rPr>
              <w:t>102797</w:t>
            </w:r>
          </w:p>
        </w:tc>
        <w:tc>
          <w:tcPr>
            <w:tcW w:w="7371" w:type="dxa"/>
            <w:tcBorders>
              <w:top w:val="single" w:sz="4" w:space="0" w:color="auto"/>
              <w:left w:val="single" w:sz="4" w:space="0" w:color="auto"/>
              <w:bottom w:val="single" w:sz="4" w:space="0" w:color="auto"/>
              <w:right w:val="single" w:sz="4" w:space="0" w:color="auto"/>
            </w:tcBorders>
            <w:hideMark/>
          </w:tcPr>
          <w:p w14:paraId="3606401B" w14:textId="77777777" w:rsidR="00270FBF" w:rsidRPr="00E92C22" w:rsidRDefault="00270FBF" w:rsidP="00270FBF">
            <w:pPr>
              <w:rPr>
                <w:rFonts w:ascii="Calibri" w:hAnsi="Calibri" w:cs="Calibri"/>
              </w:rPr>
            </w:pPr>
            <w:r w:rsidRPr="00E92C22">
              <w:rPr>
                <w:rFonts w:ascii="Calibri" w:hAnsi="Calibri" w:cs="Calibri"/>
              </w:rPr>
              <w:t xml:space="preserve">Groer M, </w:t>
            </w:r>
            <w:proofErr w:type="spellStart"/>
            <w:r w:rsidRPr="00E92C22">
              <w:rPr>
                <w:rFonts w:ascii="Calibri" w:hAnsi="Calibri" w:cs="Calibri"/>
              </w:rPr>
              <w:t>Jevitt</w:t>
            </w:r>
            <w:proofErr w:type="spellEnd"/>
            <w:r w:rsidRPr="00E92C22">
              <w:rPr>
                <w:rFonts w:ascii="Calibri" w:hAnsi="Calibri" w:cs="Calibri"/>
              </w:rPr>
              <w:t xml:space="preserve"> C (2014). Symptoms and signs associated with postpartum thyroiditis. J Thyroid Res, 2014: 531969.</w:t>
            </w:r>
          </w:p>
        </w:tc>
      </w:tr>
      <w:tr w:rsidR="00270FBF" w14:paraId="260096C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89A980F" w14:textId="77777777" w:rsidR="00270FBF" w:rsidRPr="00E92C22" w:rsidRDefault="00270FBF" w:rsidP="00270FBF">
            <w:pPr>
              <w:jc w:val="center"/>
              <w:rPr>
                <w:rFonts w:ascii="Calibri" w:hAnsi="Calibri" w:cs="Calibri"/>
              </w:rPr>
            </w:pPr>
            <w:r w:rsidRPr="00E92C22">
              <w:rPr>
                <w:rFonts w:ascii="Calibri" w:hAnsi="Calibri" w:cs="Calibri"/>
              </w:rPr>
              <w:t>80729</w:t>
            </w:r>
          </w:p>
        </w:tc>
        <w:tc>
          <w:tcPr>
            <w:tcW w:w="7371" w:type="dxa"/>
            <w:tcBorders>
              <w:top w:val="single" w:sz="4" w:space="0" w:color="auto"/>
              <w:left w:val="single" w:sz="4" w:space="0" w:color="auto"/>
              <w:bottom w:val="single" w:sz="4" w:space="0" w:color="auto"/>
              <w:right w:val="single" w:sz="4" w:space="0" w:color="auto"/>
            </w:tcBorders>
            <w:hideMark/>
          </w:tcPr>
          <w:p w14:paraId="1DC83E09" w14:textId="77777777" w:rsidR="00270FBF" w:rsidRPr="00E92C22" w:rsidRDefault="00270FBF" w:rsidP="00270FBF">
            <w:pPr>
              <w:rPr>
                <w:rFonts w:ascii="Calibri" w:hAnsi="Calibri" w:cs="Calibri"/>
              </w:rPr>
            </w:pPr>
            <w:r w:rsidRPr="00E92C22">
              <w:rPr>
                <w:rFonts w:ascii="Calibri" w:hAnsi="Calibri" w:cs="Calibri"/>
              </w:rPr>
              <w:t>Gun R, Parsons J, Ryan P, et al (2006). Australian Participants in British Nuclear Tests in Australia, Vol 2: Mortality and Cancer Incidence. Department of Veterans' Affairs, Canberra.</w:t>
            </w:r>
          </w:p>
        </w:tc>
      </w:tr>
      <w:tr w:rsidR="00270FBF" w14:paraId="205B3C5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FA5B412" w14:textId="77777777" w:rsidR="00270FBF" w:rsidRPr="00E92C22" w:rsidRDefault="00270FBF" w:rsidP="00270FBF">
            <w:pPr>
              <w:jc w:val="center"/>
              <w:rPr>
                <w:rFonts w:ascii="Calibri" w:hAnsi="Calibri" w:cs="Calibri"/>
              </w:rPr>
            </w:pPr>
            <w:r w:rsidRPr="00E92C22">
              <w:rPr>
                <w:rFonts w:ascii="Calibri" w:hAnsi="Calibri" w:cs="Calibri"/>
              </w:rPr>
              <w:t>102798</w:t>
            </w:r>
          </w:p>
        </w:tc>
        <w:tc>
          <w:tcPr>
            <w:tcW w:w="7371" w:type="dxa"/>
            <w:tcBorders>
              <w:top w:val="single" w:sz="4" w:space="0" w:color="auto"/>
              <w:left w:val="single" w:sz="4" w:space="0" w:color="auto"/>
              <w:bottom w:val="single" w:sz="4" w:space="0" w:color="auto"/>
              <w:right w:val="single" w:sz="4" w:space="0" w:color="auto"/>
            </w:tcBorders>
            <w:hideMark/>
          </w:tcPr>
          <w:p w14:paraId="12FA1DF0" w14:textId="77777777" w:rsidR="00270FBF" w:rsidRPr="00E92C22" w:rsidRDefault="00270FBF" w:rsidP="00270FBF">
            <w:pPr>
              <w:rPr>
                <w:rFonts w:ascii="Calibri" w:hAnsi="Calibri" w:cs="Calibri"/>
              </w:rPr>
            </w:pPr>
            <w:r w:rsidRPr="00E92C22">
              <w:rPr>
                <w:rFonts w:ascii="Calibri" w:hAnsi="Calibri" w:cs="Calibri"/>
              </w:rPr>
              <w:t xml:space="preserve">Hammerstad SS, Blackard JT, Lombardi A, et al (2020). Hepatitis C virus infection of human thyrocytes: metabolic, hormonal, and immunological implications. J Clin Endocrinol </w:t>
            </w:r>
            <w:proofErr w:type="spellStart"/>
            <w:r w:rsidRPr="00E92C22">
              <w:rPr>
                <w:rFonts w:ascii="Calibri" w:hAnsi="Calibri" w:cs="Calibri"/>
              </w:rPr>
              <w:t>Metab</w:t>
            </w:r>
            <w:proofErr w:type="spellEnd"/>
            <w:r w:rsidRPr="00E92C22">
              <w:rPr>
                <w:rFonts w:ascii="Calibri" w:hAnsi="Calibri" w:cs="Calibri"/>
              </w:rPr>
              <w:t>, 105(4): 1157-68.</w:t>
            </w:r>
          </w:p>
        </w:tc>
      </w:tr>
      <w:tr w:rsidR="00270FBF" w14:paraId="4404657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727436D" w14:textId="77777777" w:rsidR="00270FBF" w:rsidRPr="00E92C22" w:rsidRDefault="00270FBF" w:rsidP="00270FBF">
            <w:pPr>
              <w:jc w:val="center"/>
              <w:rPr>
                <w:rFonts w:ascii="Calibri" w:hAnsi="Calibri" w:cs="Calibri"/>
              </w:rPr>
            </w:pPr>
            <w:r w:rsidRPr="00E92C22">
              <w:rPr>
                <w:rFonts w:ascii="Calibri" w:hAnsi="Calibri" w:cs="Calibri"/>
              </w:rPr>
              <w:lastRenderedPageBreak/>
              <w:t>65649</w:t>
            </w:r>
          </w:p>
        </w:tc>
        <w:tc>
          <w:tcPr>
            <w:tcW w:w="7371" w:type="dxa"/>
            <w:tcBorders>
              <w:top w:val="single" w:sz="4" w:space="0" w:color="auto"/>
              <w:left w:val="single" w:sz="4" w:space="0" w:color="auto"/>
              <w:bottom w:val="single" w:sz="4" w:space="0" w:color="auto"/>
              <w:right w:val="single" w:sz="4" w:space="0" w:color="auto"/>
            </w:tcBorders>
            <w:hideMark/>
          </w:tcPr>
          <w:p w14:paraId="68529AAA" w14:textId="77777777" w:rsidR="00270FBF" w:rsidRPr="00E92C22" w:rsidRDefault="00270FBF" w:rsidP="00270FBF">
            <w:pPr>
              <w:rPr>
                <w:rFonts w:ascii="Calibri" w:hAnsi="Calibri" w:cs="Calibri"/>
              </w:rPr>
            </w:pPr>
            <w:proofErr w:type="spellStart"/>
            <w:r w:rsidRPr="00E92C22">
              <w:rPr>
                <w:rFonts w:ascii="Calibri" w:hAnsi="Calibri" w:cs="Calibri"/>
              </w:rPr>
              <w:t>Harach</w:t>
            </w:r>
            <w:proofErr w:type="spellEnd"/>
            <w:r w:rsidRPr="00E92C22">
              <w:rPr>
                <w:rFonts w:ascii="Calibri" w:hAnsi="Calibri" w:cs="Calibri"/>
              </w:rPr>
              <w:t xml:space="preserve"> HR, Ceballos GA (2008). Thyroid cancer, thyroiditis and dietary iodine: a review based on the Salta, Argentina model. </w:t>
            </w:r>
            <w:proofErr w:type="spellStart"/>
            <w:r w:rsidRPr="00E92C22">
              <w:rPr>
                <w:rFonts w:ascii="Calibri" w:hAnsi="Calibri" w:cs="Calibri"/>
              </w:rPr>
              <w:t>Endocr</w:t>
            </w:r>
            <w:proofErr w:type="spellEnd"/>
            <w:r w:rsidRPr="00E92C22">
              <w:rPr>
                <w:rFonts w:ascii="Calibri" w:hAnsi="Calibri" w:cs="Calibri"/>
              </w:rPr>
              <w:t xml:space="preserve"> </w:t>
            </w:r>
            <w:proofErr w:type="spellStart"/>
            <w:r w:rsidRPr="00E92C22">
              <w:rPr>
                <w:rFonts w:ascii="Calibri" w:hAnsi="Calibri" w:cs="Calibri"/>
              </w:rPr>
              <w:t>Pathol</w:t>
            </w:r>
            <w:proofErr w:type="spellEnd"/>
            <w:r w:rsidRPr="00E92C22">
              <w:rPr>
                <w:rFonts w:ascii="Calibri" w:hAnsi="Calibri" w:cs="Calibri"/>
              </w:rPr>
              <w:t>, 19(4): 209-20.</w:t>
            </w:r>
          </w:p>
        </w:tc>
      </w:tr>
      <w:tr w:rsidR="00270FBF" w14:paraId="036E45E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7B4794A" w14:textId="77777777" w:rsidR="00270FBF" w:rsidRPr="00E92C22" w:rsidRDefault="00270FBF" w:rsidP="00270FBF">
            <w:pPr>
              <w:jc w:val="center"/>
              <w:rPr>
                <w:rFonts w:ascii="Calibri" w:hAnsi="Calibri" w:cs="Calibri"/>
              </w:rPr>
            </w:pPr>
            <w:r w:rsidRPr="00E92C22">
              <w:rPr>
                <w:rFonts w:ascii="Calibri" w:hAnsi="Calibri" w:cs="Calibri"/>
              </w:rPr>
              <w:t>42056</w:t>
            </w:r>
          </w:p>
        </w:tc>
        <w:tc>
          <w:tcPr>
            <w:tcW w:w="7371" w:type="dxa"/>
            <w:tcBorders>
              <w:top w:val="single" w:sz="4" w:space="0" w:color="auto"/>
              <w:left w:val="single" w:sz="4" w:space="0" w:color="auto"/>
              <w:bottom w:val="single" w:sz="4" w:space="0" w:color="auto"/>
              <w:right w:val="single" w:sz="4" w:space="0" w:color="auto"/>
            </w:tcBorders>
            <w:hideMark/>
          </w:tcPr>
          <w:p w14:paraId="619DF288" w14:textId="77777777" w:rsidR="00270FBF" w:rsidRPr="00E92C22" w:rsidRDefault="00270FBF" w:rsidP="00270FBF">
            <w:pPr>
              <w:rPr>
                <w:rFonts w:ascii="Calibri" w:hAnsi="Calibri" w:cs="Calibri"/>
              </w:rPr>
            </w:pPr>
            <w:r w:rsidRPr="00E92C22">
              <w:rPr>
                <w:rFonts w:ascii="Calibri" w:hAnsi="Calibri" w:cs="Calibri"/>
              </w:rPr>
              <w:t xml:space="preserve">Harrison JD, Muirhead CR (2003). Quantitative comparisons of cancer induction in humans by internally deposited radionuclides and external radiation. Int J </w:t>
            </w:r>
            <w:proofErr w:type="spellStart"/>
            <w:r w:rsidRPr="00E92C22">
              <w:rPr>
                <w:rFonts w:ascii="Calibri" w:hAnsi="Calibri" w:cs="Calibri"/>
              </w:rPr>
              <w:t>Radiat</w:t>
            </w:r>
            <w:proofErr w:type="spellEnd"/>
            <w:r w:rsidRPr="00E92C22">
              <w:rPr>
                <w:rFonts w:ascii="Calibri" w:hAnsi="Calibri" w:cs="Calibri"/>
              </w:rPr>
              <w:t xml:space="preserve"> Biol, 79(1): 1-13.</w:t>
            </w:r>
          </w:p>
        </w:tc>
      </w:tr>
      <w:tr w:rsidR="00270FBF" w14:paraId="3952C63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87CFB2C" w14:textId="77777777" w:rsidR="00270FBF" w:rsidRPr="00E92C22" w:rsidRDefault="00270FBF" w:rsidP="00270FBF">
            <w:pPr>
              <w:jc w:val="center"/>
              <w:rPr>
                <w:rFonts w:ascii="Calibri" w:hAnsi="Calibri" w:cs="Calibri"/>
              </w:rPr>
            </w:pPr>
            <w:r w:rsidRPr="00E92C22">
              <w:rPr>
                <w:rFonts w:ascii="Calibri" w:hAnsi="Calibri" w:cs="Calibri"/>
              </w:rPr>
              <w:t>46676</w:t>
            </w:r>
          </w:p>
        </w:tc>
        <w:tc>
          <w:tcPr>
            <w:tcW w:w="7371" w:type="dxa"/>
            <w:tcBorders>
              <w:top w:val="single" w:sz="4" w:space="0" w:color="auto"/>
              <w:left w:val="single" w:sz="4" w:space="0" w:color="auto"/>
              <w:bottom w:val="single" w:sz="4" w:space="0" w:color="auto"/>
              <w:right w:val="single" w:sz="4" w:space="0" w:color="auto"/>
            </w:tcBorders>
            <w:hideMark/>
          </w:tcPr>
          <w:p w14:paraId="2DBCA6AB" w14:textId="77777777" w:rsidR="00270FBF" w:rsidRPr="00E92C22" w:rsidRDefault="00270FBF" w:rsidP="00270FBF">
            <w:pPr>
              <w:rPr>
                <w:rFonts w:ascii="Calibri" w:hAnsi="Calibri" w:cs="Calibri"/>
              </w:rPr>
            </w:pPr>
            <w:r w:rsidRPr="00E92C22">
              <w:rPr>
                <w:rFonts w:ascii="Calibri" w:hAnsi="Calibri" w:cs="Calibri"/>
              </w:rPr>
              <w:t xml:space="preserve">Hartmann K (2015). Thyroid disorders in the oncology patient. J Adv </w:t>
            </w:r>
            <w:proofErr w:type="spellStart"/>
            <w:r w:rsidRPr="00E92C22">
              <w:rPr>
                <w:rFonts w:ascii="Calibri" w:hAnsi="Calibri" w:cs="Calibri"/>
              </w:rPr>
              <w:t>Pract</w:t>
            </w:r>
            <w:proofErr w:type="spellEnd"/>
            <w:r w:rsidRPr="00E92C22">
              <w:rPr>
                <w:rFonts w:ascii="Calibri" w:hAnsi="Calibri" w:cs="Calibri"/>
              </w:rPr>
              <w:t xml:space="preserve"> Oncol, 6(2): 99-106.</w:t>
            </w:r>
          </w:p>
        </w:tc>
      </w:tr>
      <w:tr w:rsidR="00270FBF" w14:paraId="2CEA1EB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78BDD04" w14:textId="77777777" w:rsidR="00270FBF" w:rsidRPr="00E92C22" w:rsidRDefault="00270FBF" w:rsidP="00270FBF">
            <w:pPr>
              <w:jc w:val="center"/>
              <w:rPr>
                <w:rFonts w:ascii="Calibri" w:hAnsi="Calibri" w:cs="Calibri"/>
              </w:rPr>
            </w:pPr>
            <w:r w:rsidRPr="00E92C22">
              <w:rPr>
                <w:rFonts w:ascii="Calibri" w:hAnsi="Calibri" w:cs="Calibri"/>
              </w:rPr>
              <w:t>66964</w:t>
            </w:r>
          </w:p>
        </w:tc>
        <w:tc>
          <w:tcPr>
            <w:tcW w:w="7371" w:type="dxa"/>
            <w:tcBorders>
              <w:top w:val="single" w:sz="4" w:space="0" w:color="auto"/>
              <w:left w:val="single" w:sz="4" w:space="0" w:color="auto"/>
              <w:bottom w:val="single" w:sz="4" w:space="0" w:color="auto"/>
              <w:right w:val="single" w:sz="4" w:space="0" w:color="auto"/>
            </w:tcBorders>
            <w:hideMark/>
          </w:tcPr>
          <w:p w14:paraId="0BAAA78A" w14:textId="77777777" w:rsidR="00270FBF" w:rsidRPr="00E92C22" w:rsidRDefault="00270FBF" w:rsidP="00270FBF">
            <w:pPr>
              <w:rPr>
                <w:rFonts w:ascii="Calibri" w:hAnsi="Calibri" w:cs="Calibri"/>
              </w:rPr>
            </w:pPr>
            <w:r w:rsidRPr="00E92C22">
              <w:rPr>
                <w:rFonts w:ascii="Calibri" w:hAnsi="Calibri" w:cs="Calibri"/>
              </w:rPr>
              <w:t xml:space="preserve">Haugen BR (2009). Drugs that suppress TSH or cause central hypothyroidism. Best </w:t>
            </w:r>
            <w:proofErr w:type="spellStart"/>
            <w:r w:rsidRPr="00E92C22">
              <w:rPr>
                <w:rFonts w:ascii="Calibri" w:hAnsi="Calibri" w:cs="Calibri"/>
              </w:rPr>
              <w:t>Pract</w:t>
            </w:r>
            <w:proofErr w:type="spellEnd"/>
            <w:r w:rsidRPr="00E92C22">
              <w:rPr>
                <w:rFonts w:ascii="Calibri" w:hAnsi="Calibri" w:cs="Calibri"/>
              </w:rPr>
              <w:t xml:space="preserve"> Res Clin Endocrinol </w:t>
            </w:r>
            <w:proofErr w:type="spellStart"/>
            <w:r w:rsidRPr="00E92C22">
              <w:rPr>
                <w:rFonts w:ascii="Calibri" w:hAnsi="Calibri" w:cs="Calibri"/>
              </w:rPr>
              <w:t>Metab</w:t>
            </w:r>
            <w:proofErr w:type="spellEnd"/>
            <w:r w:rsidRPr="00E92C22">
              <w:rPr>
                <w:rFonts w:ascii="Calibri" w:hAnsi="Calibri" w:cs="Calibri"/>
              </w:rPr>
              <w:t>, 23(6): 793-800.</w:t>
            </w:r>
          </w:p>
        </w:tc>
      </w:tr>
      <w:tr w:rsidR="00270FBF" w14:paraId="63512BB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CAA2F0C" w14:textId="77777777" w:rsidR="00270FBF" w:rsidRPr="00E92C22" w:rsidRDefault="00270FBF" w:rsidP="00270FBF">
            <w:pPr>
              <w:jc w:val="center"/>
              <w:rPr>
                <w:rFonts w:ascii="Calibri" w:hAnsi="Calibri" w:cs="Calibri"/>
              </w:rPr>
            </w:pPr>
            <w:r w:rsidRPr="00E92C22">
              <w:rPr>
                <w:rFonts w:ascii="Calibri" w:hAnsi="Calibri" w:cs="Calibri"/>
              </w:rPr>
              <w:t>102650</w:t>
            </w:r>
          </w:p>
        </w:tc>
        <w:tc>
          <w:tcPr>
            <w:tcW w:w="7371" w:type="dxa"/>
            <w:tcBorders>
              <w:top w:val="single" w:sz="4" w:space="0" w:color="auto"/>
              <w:left w:val="single" w:sz="4" w:space="0" w:color="auto"/>
              <w:bottom w:val="single" w:sz="4" w:space="0" w:color="auto"/>
              <w:right w:val="single" w:sz="4" w:space="0" w:color="auto"/>
            </w:tcBorders>
            <w:hideMark/>
          </w:tcPr>
          <w:p w14:paraId="17DBB8E7" w14:textId="77777777" w:rsidR="00270FBF" w:rsidRPr="00E92C22" w:rsidRDefault="00270FBF" w:rsidP="00270FBF">
            <w:pPr>
              <w:rPr>
                <w:rFonts w:ascii="Calibri" w:hAnsi="Calibri" w:cs="Calibri"/>
              </w:rPr>
            </w:pPr>
            <w:r w:rsidRPr="00E92C22">
              <w:rPr>
                <w:rFonts w:ascii="Calibri" w:hAnsi="Calibri" w:cs="Calibri"/>
              </w:rPr>
              <w:t>Hemminki K, Li X, Sundquist J, et al (2012). Risk of asthma and autoimmune diseases and related conditions in patients hospitalized for obesity. Ann Med, 44(3): 289-95.</w:t>
            </w:r>
          </w:p>
        </w:tc>
      </w:tr>
      <w:tr w:rsidR="00270FBF" w14:paraId="6F96A8D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C06F55B" w14:textId="77777777" w:rsidR="00270FBF" w:rsidRPr="00E92C22" w:rsidRDefault="00270FBF" w:rsidP="00270FBF">
            <w:pPr>
              <w:jc w:val="center"/>
              <w:rPr>
                <w:rFonts w:ascii="Calibri" w:hAnsi="Calibri" w:cs="Calibri"/>
              </w:rPr>
            </w:pPr>
            <w:r w:rsidRPr="00E92C22">
              <w:rPr>
                <w:rFonts w:ascii="Calibri" w:hAnsi="Calibri" w:cs="Calibri"/>
              </w:rPr>
              <w:t>65926</w:t>
            </w:r>
          </w:p>
        </w:tc>
        <w:tc>
          <w:tcPr>
            <w:tcW w:w="7371" w:type="dxa"/>
            <w:tcBorders>
              <w:top w:val="single" w:sz="4" w:space="0" w:color="auto"/>
              <w:left w:val="single" w:sz="4" w:space="0" w:color="auto"/>
              <w:bottom w:val="single" w:sz="4" w:space="0" w:color="auto"/>
              <w:right w:val="single" w:sz="4" w:space="0" w:color="auto"/>
            </w:tcBorders>
            <w:hideMark/>
          </w:tcPr>
          <w:p w14:paraId="71FF70C8" w14:textId="77777777" w:rsidR="00270FBF" w:rsidRPr="00E92C22" w:rsidRDefault="00270FBF" w:rsidP="00270FBF">
            <w:pPr>
              <w:rPr>
                <w:rFonts w:ascii="Calibri" w:hAnsi="Calibri" w:cs="Calibri"/>
              </w:rPr>
            </w:pPr>
            <w:r w:rsidRPr="006E1170">
              <w:rPr>
                <w:rFonts w:ascii="Calibri" w:hAnsi="Calibri" w:cs="Calibri"/>
                <w:lang w:val="de-DE"/>
              </w:rPr>
              <w:t xml:space="preserve">Hemminki K, Shu X, Li X, et al (2009). </w:t>
            </w:r>
            <w:r w:rsidRPr="00E92C22">
              <w:rPr>
                <w:rFonts w:ascii="Calibri" w:hAnsi="Calibri" w:cs="Calibri"/>
              </w:rPr>
              <w:t xml:space="preserve">Familial risks for hospitalized Graves' disease and </w:t>
            </w:r>
            <w:proofErr w:type="spellStart"/>
            <w:r w:rsidRPr="00E92C22">
              <w:rPr>
                <w:rFonts w:ascii="Calibri" w:hAnsi="Calibri" w:cs="Calibri"/>
              </w:rPr>
              <w:t>goiter</w:t>
            </w:r>
            <w:proofErr w:type="spellEnd"/>
            <w:r w:rsidRPr="00E92C22">
              <w:rPr>
                <w:rFonts w:ascii="Calibri" w:hAnsi="Calibri" w:cs="Calibri"/>
              </w:rPr>
              <w:t xml:space="preserve">. </w:t>
            </w:r>
            <w:proofErr w:type="spellStart"/>
            <w:r w:rsidRPr="00E92C22">
              <w:rPr>
                <w:rFonts w:ascii="Calibri" w:hAnsi="Calibri" w:cs="Calibri"/>
              </w:rPr>
              <w:t>Eur</w:t>
            </w:r>
            <w:proofErr w:type="spellEnd"/>
            <w:r w:rsidRPr="00E92C22">
              <w:rPr>
                <w:rFonts w:ascii="Calibri" w:hAnsi="Calibri" w:cs="Calibri"/>
              </w:rPr>
              <w:t xml:space="preserve"> J Endocrinol, 161(4): 623-9.</w:t>
            </w:r>
          </w:p>
        </w:tc>
      </w:tr>
      <w:tr w:rsidR="00270FBF" w14:paraId="23A7B1A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1D8D1AC" w14:textId="77777777" w:rsidR="00270FBF" w:rsidRPr="00E92C22" w:rsidRDefault="00270FBF" w:rsidP="00270FBF">
            <w:pPr>
              <w:jc w:val="center"/>
              <w:rPr>
                <w:rFonts w:ascii="Calibri" w:hAnsi="Calibri" w:cs="Calibri"/>
              </w:rPr>
            </w:pPr>
            <w:r w:rsidRPr="00E92C22">
              <w:rPr>
                <w:rFonts w:ascii="Calibri" w:hAnsi="Calibri" w:cs="Calibri"/>
              </w:rPr>
              <w:t>66167</w:t>
            </w:r>
          </w:p>
        </w:tc>
        <w:tc>
          <w:tcPr>
            <w:tcW w:w="7371" w:type="dxa"/>
            <w:tcBorders>
              <w:top w:val="single" w:sz="4" w:space="0" w:color="auto"/>
              <w:left w:val="single" w:sz="4" w:space="0" w:color="auto"/>
              <w:bottom w:val="single" w:sz="4" w:space="0" w:color="auto"/>
              <w:right w:val="single" w:sz="4" w:space="0" w:color="auto"/>
            </w:tcBorders>
            <w:hideMark/>
          </w:tcPr>
          <w:p w14:paraId="75F06D8D" w14:textId="77777777" w:rsidR="00270FBF" w:rsidRPr="00E92C22" w:rsidRDefault="00270FBF" w:rsidP="00270FBF">
            <w:pPr>
              <w:rPr>
                <w:rFonts w:ascii="Calibri" w:hAnsi="Calibri" w:cs="Calibri"/>
              </w:rPr>
            </w:pPr>
            <w:r w:rsidRPr="00E92C22">
              <w:rPr>
                <w:rFonts w:ascii="Calibri" w:hAnsi="Calibri" w:cs="Calibri"/>
              </w:rPr>
              <w:t>Hoffmann CJ, Brown TT (2007). Thyroid function abnormalities in HIV-infected patients. Clin Infect Dis, 45(4): 488-94.</w:t>
            </w:r>
          </w:p>
        </w:tc>
      </w:tr>
      <w:tr w:rsidR="00270FBF" w14:paraId="00C6C65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3577F7A" w14:textId="77777777" w:rsidR="00270FBF" w:rsidRPr="00E92C22" w:rsidRDefault="00270FBF" w:rsidP="00270FBF">
            <w:pPr>
              <w:jc w:val="center"/>
              <w:rPr>
                <w:rFonts w:ascii="Calibri" w:hAnsi="Calibri" w:cs="Calibri"/>
              </w:rPr>
            </w:pPr>
            <w:r w:rsidRPr="00E92C22">
              <w:rPr>
                <w:rFonts w:ascii="Calibri" w:hAnsi="Calibri" w:cs="Calibri"/>
              </w:rPr>
              <w:t>102799</w:t>
            </w:r>
          </w:p>
        </w:tc>
        <w:tc>
          <w:tcPr>
            <w:tcW w:w="7371" w:type="dxa"/>
            <w:tcBorders>
              <w:top w:val="single" w:sz="4" w:space="0" w:color="auto"/>
              <w:left w:val="single" w:sz="4" w:space="0" w:color="auto"/>
              <w:bottom w:val="single" w:sz="4" w:space="0" w:color="auto"/>
              <w:right w:val="single" w:sz="4" w:space="0" w:color="auto"/>
            </w:tcBorders>
            <w:hideMark/>
          </w:tcPr>
          <w:p w14:paraId="7EC2586A" w14:textId="77777777" w:rsidR="00270FBF" w:rsidRPr="00E92C22" w:rsidRDefault="00270FBF" w:rsidP="00270FBF">
            <w:pPr>
              <w:rPr>
                <w:rFonts w:ascii="Calibri" w:hAnsi="Calibri" w:cs="Calibri"/>
              </w:rPr>
            </w:pPr>
            <w:r w:rsidRPr="00E92C22">
              <w:rPr>
                <w:rFonts w:ascii="Calibri" w:hAnsi="Calibri" w:cs="Calibri"/>
              </w:rPr>
              <w:t xml:space="preserve">Hori H, Kim Y (2019). Inflammation and post-traumatic stress disorder. Psychiatry Clin </w:t>
            </w:r>
            <w:proofErr w:type="spellStart"/>
            <w:r w:rsidRPr="00E92C22">
              <w:rPr>
                <w:rFonts w:ascii="Calibri" w:hAnsi="Calibri" w:cs="Calibri"/>
              </w:rPr>
              <w:t>Neurosci</w:t>
            </w:r>
            <w:proofErr w:type="spellEnd"/>
            <w:r w:rsidRPr="00E92C22">
              <w:rPr>
                <w:rFonts w:ascii="Calibri" w:hAnsi="Calibri" w:cs="Calibri"/>
              </w:rPr>
              <w:t>, 73(4): 143-53.</w:t>
            </w:r>
          </w:p>
        </w:tc>
      </w:tr>
      <w:tr w:rsidR="00270FBF" w14:paraId="6E20EF5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4B36D0A" w14:textId="77777777" w:rsidR="00270FBF" w:rsidRPr="00E92C22" w:rsidRDefault="00270FBF" w:rsidP="00270FBF">
            <w:pPr>
              <w:jc w:val="center"/>
              <w:rPr>
                <w:rFonts w:ascii="Calibri" w:hAnsi="Calibri" w:cs="Calibri"/>
              </w:rPr>
            </w:pPr>
            <w:r w:rsidRPr="00E92C22">
              <w:rPr>
                <w:rFonts w:ascii="Calibri" w:hAnsi="Calibri" w:cs="Calibri"/>
              </w:rPr>
              <w:t>72597</w:t>
            </w:r>
          </w:p>
        </w:tc>
        <w:tc>
          <w:tcPr>
            <w:tcW w:w="7371" w:type="dxa"/>
            <w:tcBorders>
              <w:top w:val="single" w:sz="4" w:space="0" w:color="auto"/>
              <w:left w:val="single" w:sz="4" w:space="0" w:color="auto"/>
              <w:bottom w:val="single" w:sz="4" w:space="0" w:color="auto"/>
              <w:right w:val="single" w:sz="4" w:space="0" w:color="auto"/>
            </w:tcBorders>
            <w:hideMark/>
          </w:tcPr>
          <w:p w14:paraId="526B0162" w14:textId="77777777" w:rsidR="00270FBF" w:rsidRPr="00E92C22" w:rsidRDefault="00270FBF" w:rsidP="00270FBF">
            <w:pPr>
              <w:rPr>
                <w:rFonts w:ascii="Calibri" w:hAnsi="Calibri" w:cs="Calibri"/>
              </w:rPr>
            </w:pPr>
            <w:r w:rsidRPr="00E92C22">
              <w:rPr>
                <w:rFonts w:ascii="Calibri" w:hAnsi="Calibri" w:cs="Calibri"/>
              </w:rPr>
              <w:t xml:space="preserve">Hsu WL, Preston DL, Soda M, et al (2013). The incidence of leukemia, lymphoma and multiple myeloma among atomic bomb survivors: 1950-2001. </w:t>
            </w:r>
            <w:proofErr w:type="spellStart"/>
            <w:r w:rsidRPr="00E92C22">
              <w:rPr>
                <w:rFonts w:ascii="Calibri" w:hAnsi="Calibri" w:cs="Calibri"/>
              </w:rPr>
              <w:t>Radiat</w:t>
            </w:r>
            <w:proofErr w:type="spellEnd"/>
            <w:r w:rsidRPr="00E92C22">
              <w:rPr>
                <w:rFonts w:ascii="Calibri" w:hAnsi="Calibri" w:cs="Calibri"/>
              </w:rPr>
              <w:t xml:space="preserve"> Res, 179(3): 361-82.</w:t>
            </w:r>
          </w:p>
        </w:tc>
      </w:tr>
      <w:tr w:rsidR="00270FBF" w14:paraId="74792BC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08B5F56" w14:textId="77777777" w:rsidR="00270FBF" w:rsidRPr="00E92C22" w:rsidRDefault="00270FBF" w:rsidP="00270FBF">
            <w:pPr>
              <w:jc w:val="center"/>
              <w:rPr>
                <w:rFonts w:ascii="Calibri" w:hAnsi="Calibri" w:cs="Calibri"/>
              </w:rPr>
            </w:pPr>
            <w:r w:rsidRPr="00E92C22">
              <w:rPr>
                <w:rFonts w:ascii="Calibri" w:hAnsi="Calibri" w:cs="Calibri"/>
              </w:rPr>
              <w:t>99460</w:t>
            </w:r>
          </w:p>
        </w:tc>
        <w:tc>
          <w:tcPr>
            <w:tcW w:w="7371" w:type="dxa"/>
            <w:tcBorders>
              <w:top w:val="single" w:sz="4" w:space="0" w:color="auto"/>
              <w:left w:val="single" w:sz="4" w:space="0" w:color="auto"/>
              <w:bottom w:val="single" w:sz="4" w:space="0" w:color="auto"/>
              <w:right w:val="single" w:sz="4" w:space="0" w:color="auto"/>
            </w:tcBorders>
            <w:hideMark/>
          </w:tcPr>
          <w:p w14:paraId="7DD521A8" w14:textId="77777777" w:rsidR="00270FBF" w:rsidRPr="00E92C22" w:rsidRDefault="00270FBF" w:rsidP="00270FBF">
            <w:pPr>
              <w:rPr>
                <w:rFonts w:ascii="Calibri" w:hAnsi="Calibri" w:cs="Calibri"/>
              </w:rPr>
            </w:pPr>
            <w:r w:rsidRPr="00E92C22">
              <w:rPr>
                <w:rFonts w:ascii="Calibri" w:hAnsi="Calibri" w:cs="Calibri"/>
              </w:rPr>
              <w:t xml:space="preserve">Hughes K, Eastman C (2021). Thyroid disease: Long-term management of hyperthyroidism and hypothyroidism. Aust J Gen </w:t>
            </w:r>
            <w:proofErr w:type="spellStart"/>
            <w:r w:rsidRPr="00E92C22">
              <w:rPr>
                <w:rFonts w:ascii="Calibri" w:hAnsi="Calibri" w:cs="Calibri"/>
              </w:rPr>
              <w:t>Pract</w:t>
            </w:r>
            <w:proofErr w:type="spellEnd"/>
            <w:r w:rsidRPr="00E92C22">
              <w:rPr>
                <w:rFonts w:ascii="Calibri" w:hAnsi="Calibri" w:cs="Calibri"/>
              </w:rPr>
              <w:t>, 50(1-2): 36-42.</w:t>
            </w:r>
          </w:p>
        </w:tc>
      </w:tr>
      <w:tr w:rsidR="00270FBF" w14:paraId="009F161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7927A4A" w14:textId="77777777" w:rsidR="00270FBF" w:rsidRPr="00E92C22" w:rsidRDefault="00270FBF" w:rsidP="00270FBF">
            <w:pPr>
              <w:jc w:val="center"/>
              <w:rPr>
                <w:rFonts w:ascii="Calibri" w:hAnsi="Calibri" w:cs="Calibri"/>
              </w:rPr>
            </w:pPr>
            <w:r w:rsidRPr="00E92C22">
              <w:rPr>
                <w:rFonts w:ascii="Calibri" w:hAnsi="Calibri" w:cs="Calibri"/>
              </w:rPr>
              <w:t>80730</w:t>
            </w:r>
          </w:p>
        </w:tc>
        <w:tc>
          <w:tcPr>
            <w:tcW w:w="7371" w:type="dxa"/>
            <w:tcBorders>
              <w:top w:val="single" w:sz="4" w:space="0" w:color="auto"/>
              <w:left w:val="single" w:sz="4" w:space="0" w:color="auto"/>
              <w:bottom w:val="single" w:sz="4" w:space="0" w:color="auto"/>
              <w:right w:val="single" w:sz="4" w:space="0" w:color="auto"/>
            </w:tcBorders>
            <w:hideMark/>
          </w:tcPr>
          <w:p w14:paraId="796A5DD8" w14:textId="77777777" w:rsidR="00270FBF" w:rsidRPr="00E92C22" w:rsidRDefault="00270FBF" w:rsidP="00270FBF">
            <w:pPr>
              <w:rPr>
                <w:rFonts w:ascii="Calibri" w:hAnsi="Calibri" w:cs="Calibri"/>
              </w:rPr>
            </w:pPr>
            <w:r w:rsidRPr="00E92C22">
              <w:rPr>
                <w:rFonts w:ascii="Calibri" w:hAnsi="Calibri" w:cs="Calibri"/>
              </w:rPr>
              <w:t xml:space="preserve">Hunter N, Kuznetsova IS, </w:t>
            </w:r>
            <w:proofErr w:type="spellStart"/>
            <w:r w:rsidRPr="00E92C22">
              <w:rPr>
                <w:rFonts w:ascii="Calibri" w:hAnsi="Calibri" w:cs="Calibri"/>
              </w:rPr>
              <w:t>Labutina</w:t>
            </w:r>
            <w:proofErr w:type="spellEnd"/>
            <w:r w:rsidRPr="00E92C22">
              <w:rPr>
                <w:rFonts w:ascii="Calibri" w:hAnsi="Calibri" w:cs="Calibri"/>
              </w:rPr>
              <w:t xml:space="preserve"> EV, et al (2013). Solid cancer incidence other than lung, liver and bone in Mayak workers: 1948-2004. Br J Cancer, 109(7): 1989-96.</w:t>
            </w:r>
          </w:p>
        </w:tc>
      </w:tr>
      <w:tr w:rsidR="00270FBF" w14:paraId="6BFDCDD9"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21E418C" w14:textId="77777777" w:rsidR="00270FBF" w:rsidRPr="00E92C22" w:rsidRDefault="00270FBF" w:rsidP="00270FBF">
            <w:pPr>
              <w:jc w:val="center"/>
              <w:rPr>
                <w:rFonts w:ascii="Calibri" w:hAnsi="Calibri" w:cs="Calibri"/>
              </w:rPr>
            </w:pPr>
            <w:r w:rsidRPr="00E92C22">
              <w:rPr>
                <w:rFonts w:ascii="Calibri" w:hAnsi="Calibri" w:cs="Calibri"/>
              </w:rPr>
              <w:t>71192</w:t>
            </w:r>
          </w:p>
        </w:tc>
        <w:tc>
          <w:tcPr>
            <w:tcW w:w="7371" w:type="dxa"/>
            <w:tcBorders>
              <w:top w:val="single" w:sz="4" w:space="0" w:color="auto"/>
              <w:left w:val="single" w:sz="4" w:space="0" w:color="auto"/>
              <w:bottom w:val="single" w:sz="4" w:space="0" w:color="auto"/>
              <w:right w:val="single" w:sz="4" w:space="0" w:color="auto"/>
            </w:tcBorders>
            <w:hideMark/>
          </w:tcPr>
          <w:p w14:paraId="0DC57A9F" w14:textId="77777777" w:rsidR="00270FBF" w:rsidRPr="00E92C22" w:rsidRDefault="00270FBF" w:rsidP="00270FBF">
            <w:pPr>
              <w:rPr>
                <w:rFonts w:ascii="Calibri" w:hAnsi="Calibri" w:cs="Calibri"/>
              </w:rPr>
            </w:pPr>
            <w:r w:rsidRPr="00E92C22">
              <w:rPr>
                <w:rFonts w:ascii="Calibri" w:hAnsi="Calibri" w:cs="Calibri"/>
              </w:rPr>
              <w:t>IARC Working Group (2012). Radiation. IARC Monographs on the Evaluation of Carcinogenic Risks to Humans, Vol 100D. International Agency for Research on Cancer, Lyon France.</w:t>
            </w:r>
          </w:p>
        </w:tc>
      </w:tr>
      <w:tr w:rsidR="00270FBF" w14:paraId="37D742B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2CEDE7E" w14:textId="77777777" w:rsidR="00270FBF" w:rsidRPr="00E92C22" w:rsidRDefault="00270FBF" w:rsidP="00270FBF">
            <w:pPr>
              <w:jc w:val="center"/>
              <w:rPr>
                <w:rFonts w:ascii="Calibri" w:hAnsi="Calibri" w:cs="Calibri"/>
              </w:rPr>
            </w:pPr>
            <w:r w:rsidRPr="00E92C22">
              <w:rPr>
                <w:rFonts w:ascii="Calibri" w:hAnsi="Calibri" w:cs="Calibri"/>
              </w:rPr>
              <w:t>66963</w:t>
            </w:r>
          </w:p>
        </w:tc>
        <w:tc>
          <w:tcPr>
            <w:tcW w:w="7371" w:type="dxa"/>
            <w:tcBorders>
              <w:top w:val="single" w:sz="4" w:space="0" w:color="auto"/>
              <w:left w:val="single" w:sz="4" w:space="0" w:color="auto"/>
              <w:bottom w:val="single" w:sz="4" w:space="0" w:color="auto"/>
              <w:right w:val="single" w:sz="4" w:space="0" w:color="auto"/>
            </w:tcBorders>
            <w:hideMark/>
          </w:tcPr>
          <w:p w14:paraId="553A4789" w14:textId="77777777" w:rsidR="00270FBF" w:rsidRPr="00E92C22" w:rsidRDefault="00270FBF" w:rsidP="00270FBF">
            <w:pPr>
              <w:rPr>
                <w:rFonts w:ascii="Calibri" w:hAnsi="Calibri" w:cs="Calibri"/>
              </w:rPr>
            </w:pPr>
            <w:r w:rsidRPr="006E1170">
              <w:rPr>
                <w:rFonts w:ascii="Calibri" w:hAnsi="Calibri" w:cs="Calibri"/>
                <w:lang w:val="de-DE"/>
              </w:rPr>
              <w:t xml:space="preserve">Iida K, Hino Y, Ohara T, et al (2011). </w:t>
            </w:r>
            <w:r w:rsidRPr="00E92C22">
              <w:rPr>
                <w:rFonts w:ascii="Calibri" w:hAnsi="Calibri" w:cs="Calibri"/>
              </w:rPr>
              <w:t xml:space="preserve">A case of </w:t>
            </w:r>
            <w:proofErr w:type="spellStart"/>
            <w:r w:rsidRPr="00E92C22">
              <w:rPr>
                <w:rFonts w:ascii="Calibri" w:hAnsi="Calibri" w:cs="Calibri"/>
              </w:rPr>
              <w:t>myxedema</w:t>
            </w:r>
            <w:proofErr w:type="spellEnd"/>
            <w:r w:rsidRPr="00E92C22">
              <w:rPr>
                <w:rFonts w:ascii="Calibri" w:hAnsi="Calibri" w:cs="Calibri"/>
              </w:rPr>
              <w:t xml:space="preserve"> coma caused by isolated thyrotropin stimulating hormone deficiency and Hashimoto's thyroiditis. </w:t>
            </w:r>
            <w:proofErr w:type="spellStart"/>
            <w:r w:rsidRPr="00E92C22">
              <w:rPr>
                <w:rFonts w:ascii="Calibri" w:hAnsi="Calibri" w:cs="Calibri"/>
              </w:rPr>
              <w:t>Endocr</w:t>
            </w:r>
            <w:proofErr w:type="spellEnd"/>
            <w:r w:rsidRPr="00E92C22">
              <w:rPr>
                <w:rFonts w:ascii="Calibri" w:hAnsi="Calibri" w:cs="Calibri"/>
              </w:rPr>
              <w:t xml:space="preserve"> J, 58(2): 143-8.</w:t>
            </w:r>
          </w:p>
        </w:tc>
      </w:tr>
      <w:tr w:rsidR="00270FBF" w14:paraId="283062E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8273F32" w14:textId="77777777" w:rsidR="00270FBF" w:rsidRPr="00E92C22" w:rsidRDefault="00270FBF" w:rsidP="00270FBF">
            <w:pPr>
              <w:jc w:val="center"/>
              <w:rPr>
                <w:rFonts w:ascii="Calibri" w:hAnsi="Calibri" w:cs="Calibri"/>
              </w:rPr>
            </w:pPr>
            <w:r w:rsidRPr="00E92C22">
              <w:rPr>
                <w:rFonts w:ascii="Calibri" w:hAnsi="Calibri" w:cs="Calibri"/>
              </w:rPr>
              <w:t>99140</w:t>
            </w:r>
          </w:p>
        </w:tc>
        <w:tc>
          <w:tcPr>
            <w:tcW w:w="7371" w:type="dxa"/>
            <w:tcBorders>
              <w:top w:val="single" w:sz="4" w:space="0" w:color="auto"/>
              <w:left w:val="single" w:sz="4" w:space="0" w:color="auto"/>
              <w:bottom w:val="single" w:sz="4" w:space="0" w:color="auto"/>
              <w:right w:val="single" w:sz="4" w:space="0" w:color="auto"/>
            </w:tcBorders>
            <w:hideMark/>
          </w:tcPr>
          <w:p w14:paraId="74B03D66" w14:textId="77777777" w:rsidR="00270FBF" w:rsidRPr="00E92C22" w:rsidRDefault="00270FBF" w:rsidP="00270FBF">
            <w:pPr>
              <w:rPr>
                <w:rFonts w:ascii="Calibri" w:hAnsi="Calibri" w:cs="Calibri"/>
              </w:rPr>
            </w:pPr>
            <w:r w:rsidRPr="00E92C22">
              <w:rPr>
                <w:rFonts w:ascii="Calibri" w:hAnsi="Calibri" w:cs="Calibri"/>
              </w:rPr>
              <w:t xml:space="preserve">Imaizumi M, Furukawa K, </w:t>
            </w:r>
            <w:proofErr w:type="spellStart"/>
            <w:r w:rsidRPr="00E92C22">
              <w:rPr>
                <w:rFonts w:ascii="Calibri" w:hAnsi="Calibri" w:cs="Calibri"/>
              </w:rPr>
              <w:t>Ohishi</w:t>
            </w:r>
            <w:proofErr w:type="spellEnd"/>
            <w:r w:rsidRPr="00E92C22">
              <w:rPr>
                <w:rFonts w:ascii="Calibri" w:hAnsi="Calibri" w:cs="Calibri"/>
              </w:rPr>
              <w:t xml:space="preserve"> W, et al (2018). Thyroid diseases among atomic bomb survivors. </w:t>
            </w:r>
            <w:proofErr w:type="spellStart"/>
            <w:r w:rsidRPr="00E92C22">
              <w:rPr>
                <w:rFonts w:ascii="Calibri" w:hAnsi="Calibri" w:cs="Calibri"/>
              </w:rPr>
              <w:t>Radiat</w:t>
            </w:r>
            <w:proofErr w:type="spellEnd"/>
            <w:r w:rsidRPr="00E92C22">
              <w:rPr>
                <w:rFonts w:ascii="Calibri" w:hAnsi="Calibri" w:cs="Calibri"/>
              </w:rPr>
              <w:t xml:space="preserve"> Prot Dosimetry, 182(1): 62-6.</w:t>
            </w:r>
          </w:p>
        </w:tc>
      </w:tr>
      <w:tr w:rsidR="00270FBF" w14:paraId="7539A11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34EDA4F" w14:textId="77777777" w:rsidR="00270FBF" w:rsidRPr="00E92C22" w:rsidRDefault="00270FBF" w:rsidP="00270FBF">
            <w:pPr>
              <w:jc w:val="center"/>
              <w:rPr>
                <w:rFonts w:ascii="Calibri" w:hAnsi="Calibri" w:cs="Calibri"/>
              </w:rPr>
            </w:pPr>
            <w:r w:rsidRPr="00E92C22">
              <w:rPr>
                <w:rFonts w:ascii="Calibri" w:hAnsi="Calibri" w:cs="Calibri"/>
              </w:rPr>
              <w:t>99139</w:t>
            </w:r>
          </w:p>
        </w:tc>
        <w:tc>
          <w:tcPr>
            <w:tcW w:w="7371" w:type="dxa"/>
            <w:tcBorders>
              <w:top w:val="single" w:sz="4" w:space="0" w:color="auto"/>
              <w:left w:val="single" w:sz="4" w:space="0" w:color="auto"/>
              <w:bottom w:val="single" w:sz="4" w:space="0" w:color="auto"/>
              <w:right w:val="single" w:sz="4" w:space="0" w:color="auto"/>
            </w:tcBorders>
            <w:hideMark/>
          </w:tcPr>
          <w:p w14:paraId="6319F0D9" w14:textId="77777777" w:rsidR="00270FBF" w:rsidRPr="00E92C22" w:rsidRDefault="00270FBF" w:rsidP="00270FBF">
            <w:pPr>
              <w:rPr>
                <w:rFonts w:ascii="Calibri" w:hAnsi="Calibri" w:cs="Calibri"/>
              </w:rPr>
            </w:pPr>
            <w:r w:rsidRPr="006E1170">
              <w:rPr>
                <w:rFonts w:ascii="Calibri" w:hAnsi="Calibri" w:cs="Calibri"/>
                <w:lang w:val="de-DE"/>
              </w:rPr>
              <w:t xml:space="preserve">Imaizumi M, Ohishi W, Nakashima E, et al (2017). </w:t>
            </w:r>
            <w:r w:rsidRPr="00E92C22">
              <w:rPr>
                <w:rFonts w:ascii="Calibri" w:hAnsi="Calibri" w:cs="Calibri"/>
              </w:rPr>
              <w:t xml:space="preserve">Thyroid dysfunction and autoimmune thyroid diseases among atomic bomb survivors exposed in childhood. J Clin Endocrinol </w:t>
            </w:r>
            <w:proofErr w:type="spellStart"/>
            <w:r w:rsidRPr="00E92C22">
              <w:rPr>
                <w:rFonts w:ascii="Calibri" w:hAnsi="Calibri" w:cs="Calibri"/>
              </w:rPr>
              <w:t>Metab</w:t>
            </w:r>
            <w:proofErr w:type="spellEnd"/>
            <w:r w:rsidRPr="00E92C22">
              <w:rPr>
                <w:rFonts w:ascii="Calibri" w:hAnsi="Calibri" w:cs="Calibri"/>
              </w:rPr>
              <w:t>, 102(7): 2516-24.</w:t>
            </w:r>
          </w:p>
        </w:tc>
      </w:tr>
      <w:tr w:rsidR="00270FBF" w14:paraId="6ADC76D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EE64E58" w14:textId="77777777" w:rsidR="00270FBF" w:rsidRPr="00E92C22" w:rsidRDefault="00270FBF" w:rsidP="00270FBF">
            <w:pPr>
              <w:jc w:val="center"/>
              <w:rPr>
                <w:rFonts w:ascii="Calibri" w:hAnsi="Calibri" w:cs="Calibri"/>
              </w:rPr>
            </w:pPr>
            <w:r w:rsidRPr="00E92C22">
              <w:rPr>
                <w:rFonts w:ascii="Calibri" w:hAnsi="Calibri" w:cs="Calibri"/>
              </w:rPr>
              <w:t>64822</w:t>
            </w:r>
          </w:p>
        </w:tc>
        <w:tc>
          <w:tcPr>
            <w:tcW w:w="7371" w:type="dxa"/>
            <w:tcBorders>
              <w:top w:val="single" w:sz="4" w:space="0" w:color="auto"/>
              <w:left w:val="single" w:sz="4" w:space="0" w:color="auto"/>
              <w:bottom w:val="single" w:sz="4" w:space="0" w:color="auto"/>
              <w:right w:val="single" w:sz="4" w:space="0" w:color="auto"/>
            </w:tcBorders>
            <w:hideMark/>
          </w:tcPr>
          <w:p w14:paraId="24584F07" w14:textId="77777777" w:rsidR="00270FBF" w:rsidRPr="00E92C22" w:rsidRDefault="00270FBF" w:rsidP="00270FBF">
            <w:pPr>
              <w:rPr>
                <w:rFonts w:ascii="Calibri" w:hAnsi="Calibri" w:cs="Calibri"/>
              </w:rPr>
            </w:pPr>
            <w:r w:rsidRPr="006E1170">
              <w:rPr>
                <w:rFonts w:ascii="Calibri" w:hAnsi="Calibri" w:cs="Calibri"/>
                <w:lang w:val="de-DE"/>
              </w:rPr>
              <w:t xml:space="preserve">Imaizumi M, Usa T, Tominaga T, et al (2006). </w:t>
            </w:r>
            <w:r w:rsidRPr="00E92C22">
              <w:rPr>
                <w:rFonts w:ascii="Calibri" w:hAnsi="Calibri" w:cs="Calibri"/>
              </w:rPr>
              <w:t>Radiation dose-response relationships for thyroid nodules and autoimmune thyroid diseases in Hiroshima and Nagasaki atomic bomb survivors 55-58 years after radiation exposure. JAMA, 295(9): 1011-22.</w:t>
            </w:r>
          </w:p>
        </w:tc>
      </w:tr>
      <w:tr w:rsidR="00270FBF" w14:paraId="57AD3CE9"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6C7F1E5" w14:textId="77777777" w:rsidR="00270FBF" w:rsidRPr="00E92C22" w:rsidRDefault="00270FBF" w:rsidP="00270FBF">
            <w:pPr>
              <w:jc w:val="center"/>
              <w:rPr>
                <w:rFonts w:ascii="Calibri" w:hAnsi="Calibri" w:cs="Calibri"/>
              </w:rPr>
            </w:pPr>
            <w:r w:rsidRPr="00E92C22">
              <w:rPr>
                <w:rFonts w:ascii="Calibri" w:hAnsi="Calibri" w:cs="Calibri"/>
              </w:rPr>
              <w:t>66162</w:t>
            </w:r>
          </w:p>
        </w:tc>
        <w:tc>
          <w:tcPr>
            <w:tcW w:w="7371" w:type="dxa"/>
            <w:tcBorders>
              <w:top w:val="single" w:sz="4" w:space="0" w:color="auto"/>
              <w:left w:val="single" w:sz="4" w:space="0" w:color="auto"/>
              <w:bottom w:val="single" w:sz="4" w:space="0" w:color="auto"/>
              <w:right w:val="single" w:sz="4" w:space="0" w:color="auto"/>
            </w:tcBorders>
            <w:hideMark/>
          </w:tcPr>
          <w:p w14:paraId="5F97A54C" w14:textId="77777777" w:rsidR="00270FBF" w:rsidRPr="00E92C22" w:rsidRDefault="00270FBF" w:rsidP="00270FBF">
            <w:pPr>
              <w:rPr>
                <w:rFonts w:ascii="Calibri" w:hAnsi="Calibri" w:cs="Calibri"/>
              </w:rPr>
            </w:pPr>
            <w:proofErr w:type="spellStart"/>
            <w:r w:rsidRPr="00E92C22">
              <w:rPr>
                <w:rFonts w:ascii="Calibri" w:hAnsi="Calibri" w:cs="Calibri"/>
              </w:rPr>
              <w:t>Indolfi</w:t>
            </w:r>
            <w:proofErr w:type="spellEnd"/>
            <w:r w:rsidRPr="00E92C22">
              <w:rPr>
                <w:rFonts w:ascii="Calibri" w:hAnsi="Calibri" w:cs="Calibri"/>
              </w:rPr>
              <w:t xml:space="preserve"> G, Stagi S, Bartolini E, et al (2008). Thyroid function and anti-thyroid autoantibodies in untreated children with vertically acquired chronic hepatitis C virus infection. Clin Endocrinol (</w:t>
            </w:r>
            <w:proofErr w:type="spellStart"/>
            <w:r w:rsidRPr="00E92C22">
              <w:rPr>
                <w:rFonts w:ascii="Calibri" w:hAnsi="Calibri" w:cs="Calibri"/>
              </w:rPr>
              <w:t>Oxf</w:t>
            </w:r>
            <w:proofErr w:type="spellEnd"/>
            <w:r w:rsidRPr="00E92C22">
              <w:rPr>
                <w:rFonts w:ascii="Calibri" w:hAnsi="Calibri" w:cs="Calibri"/>
              </w:rPr>
              <w:t>), 68(1): 117-21.</w:t>
            </w:r>
          </w:p>
        </w:tc>
      </w:tr>
      <w:tr w:rsidR="00270FBF" w14:paraId="022A72FC"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C068A7E" w14:textId="77777777" w:rsidR="00270FBF" w:rsidRPr="00E92C22" w:rsidRDefault="00270FBF" w:rsidP="00270FBF">
            <w:pPr>
              <w:jc w:val="center"/>
              <w:rPr>
                <w:rFonts w:ascii="Calibri" w:hAnsi="Calibri" w:cs="Calibri"/>
              </w:rPr>
            </w:pPr>
            <w:r w:rsidRPr="00E92C22">
              <w:rPr>
                <w:rFonts w:ascii="Calibri" w:hAnsi="Calibri" w:cs="Calibri"/>
              </w:rPr>
              <w:t>61195</w:t>
            </w:r>
          </w:p>
        </w:tc>
        <w:tc>
          <w:tcPr>
            <w:tcW w:w="7371" w:type="dxa"/>
            <w:tcBorders>
              <w:top w:val="single" w:sz="4" w:space="0" w:color="auto"/>
              <w:left w:val="single" w:sz="4" w:space="0" w:color="auto"/>
              <w:bottom w:val="single" w:sz="4" w:space="0" w:color="auto"/>
              <w:right w:val="single" w:sz="4" w:space="0" w:color="auto"/>
            </w:tcBorders>
            <w:hideMark/>
          </w:tcPr>
          <w:p w14:paraId="11FBC111" w14:textId="77777777" w:rsidR="00270FBF" w:rsidRPr="00E92C22" w:rsidRDefault="00270FBF" w:rsidP="00270FBF">
            <w:pPr>
              <w:rPr>
                <w:rFonts w:ascii="Calibri" w:hAnsi="Calibri" w:cs="Calibri"/>
              </w:rPr>
            </w:pPr>
            <w:r w:rsidRPr="00E92C22">
              <w:rPr>
                <w:rFonts w:ascii="Calibri" w:hAnsi="Calibri" w:cs="Calibri"/>
              </w:rPr>
              <w:t>Institute of Medicine (2011). Blue Water Navy Vietnam Veterans and Agent Orange Exposure, National Academies Press - Washington, DC.</w:t>
            </w:r>
          </w:p>
        </w:tc>
      </w:tr>
      <w:tr w:rsidR="00270FBF" w14:paraId="01DDF64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189DDCD" w14:textId="77777777" w:rsidR="00270FBF" w:rsidRPr="00E92C22" w:rsidRDefault="00270FBF" w:rsidP="00270FBF">
            <w:pPr>
              <w:jc w:val="center"/>
              <w:rPr>
                <w:rFonts w:ascii="Calibri" w:hAnsi="Calibri" w:cs="Calibri"/>
              </w:rPr>
            </w:pPr>
            <w:r w:rsidRPr="00E92C22">
              <w:rPr>
                <w:rFonts w:ascii="Calibri" w:hAnsi="Calibri" w:cs="Calibri"/>
              </w:rPr>
              <w:lastRenderedPageBreak/>
              <w:t>80754</w:t>
            </w:r>
          </w:p>
        </w:tc>
        <w:tc>
          <w:tcPr>
            <w:tcW w:w="7371" w:type="dxa"/>
            <w:tcBorders>
              <w:top w:val="single" w:sz="4" w:space="0" w:color="auto"/>
              <w:left w:val="single" w:sz="4" w:space="0" w:color="auto"/>
              <w:bottom w:val="single" w:sz="4" w:space="0" w:color="auto"/>
              <w:right w:val="single" w:sz="4" w:space="0" w:color="auto"/>
            </w:tcBorders>
            <w:hideMark/>
          </w:tcPr>
          <w:p w14:paraId="110EDA6B" w14:textId="77777777" w:rsidR="00270FBF" w:rsidRPr="00E92C22" w:rsidRDefault="00270FBF" w:rsidP="00270FBF">
            <w:pPr>
              <w:rPr>
                <w:rFonts w:ascii="Calibri" w:hAnsi="Calibri" w:cs="Calibri"/>
              </w:rPr>
            </w:pPr>
            <w:r w:rsidRPr="00E92C22">
              <w:rPr>
                <w:rFonts w:ascii="Calibri" w:hAnsi="Calibri" w:cs="Calibri"/>
              </w:rPr>
              <w:t>International Atomic Energy Agency (IAEA) (Undated). Glossary. Retrieved 9 February 2017, from https://www.iaea.org/ns/tutorials/regcontrol/intro/glossaryd.htm</w:t>
            </w:r>
          </w:p>
        </w:tc>
      </w:tr>
      <w:tr w:rsidR="00270FBF" w14:paraId="3EACB7D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B3E504C" w14:textId="77777777" w:rsidR="00270FBF" w:rsidRPr="00E92C22" w:rsidRDefault="00270FBF" w:rsidP="00270FBF">
            <w:pPr>
              <w:jc w:val="center"/>
              <w:rPr>
                <w:rFonts w:ascii="Calibri" w:hAnsi="Calibri" w:cs="Calibri"/>
              </w:rPr>
            </w:pPr>
            <w:r w:rsidRPr="00E92C22">
              <w:rPr>
                <w:rFonts w:ascii="Calibri" w:hAnsi="Calibri" w:cs="Calibri"/>
              </w:rPr>
              <w:t>80727</w:t>
            </w:r>
          </w:p>
        </w:tc>
        <w:tc>
          <w:tcPr>
            <w:tcW w:w="7371" w:type="dxa"/>
            <w:tcBorders>
              <w:top w:val="single" w:sz="4" w:space="0" w:color="auto"/>
              <w:left w:val="single" w:sz="4" w:space="0" w:color="auto"/>
              <w:bottom w:val="single" w:sz="4" w:space="0" w:color="auto"/>
              <w:right w:val="single" w:sz="4" w:space="0" w:color="auto"/>
            </w:tcBorders>
            <w:hideMark/>
          </w:tcPr>
          <w:p w14:paraId="609B3E2A" w14:textId="77777777" w:rsidR="00270FBF" w:rsidRPr="00E92C22" w:rsidRDefault="00270FBF" w:rsidP="00270FBF">
            <w:pPr>
              <w:rPr>
                <w:rFonts w:ascii="Calibri" w:hAnsi="Calibri" w:cs="Calibri"/>
              </w:rPr>
            </w:pPr>
            <w:r w:rsidRPr="00E92C22">
              <w:rPr>
                <w:rFonts w:ascii="Calibri" w:hAnsi="Calibri" w:cs="Calibri"/>
              </w:rPr>
              <w:t>International Commission on Radiation Units and Measures (2011). 3. Radiation exposure from internally deposited radionuclides. J ICRU, 11(2 Report 86): 33-8.</w:t>
            </w:r>
          </w:p>
        </w:tc>
      </w:tr>
      <w:tr w:rsidR="00270FBF" w14:paraId="57805D8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31559C6" w14:textId="77777777" w:rsidR="00270FBF" w:rsidRPr="00E92C22" w:rsidRDefault="00270FBF" w:rsidP="00270FBF">
            <w:pPr>
              <w:jc w:val="center"/>
              <w:rPr>
                <w:rFonts w:ascii="Calibri" w:hAnsi="Calibri" w:cs="Calibri"/>
              </w:rPr>
            </w:pPr>
            <w:r w:rsidRPr="00E92C22">
              <w:rPr>
                <w:rFonts w:ascii="Calibri" w:hAnsi="Calibri" w:cs="Calibri"/>
              </w:rPr>
              <w:t>80752</w:t>
            </w:r>
          </w:p>
        </w:tc>
        <w:tc>
          <w:tcPr>
            <w:tcW w:w="7371" w:type="dxa"/>
            <w:tcBorders>
              <w:top w:val="single" w:sz="4" w:space="0" w:color="auto"/>
              <w:left w:val="single" w:sz="4" w:space="0" w:color="auto"/>
              <w:bottom w:val="single" w:sz="4" w:space="0" w:color="auto"/>
              <w:right w:val="single" w:sz="4" w:space="0" w:color="auto"/>
            </w:tcBorders>
            <w:hideMark/>
          </w:tcPr>
          <w:p w14:paraId="6521A9EA" w14:textId="77777777" w:rsidR="00270FBF" w:rsidRPr="00E92C22" w:rsidRDefault="00270FBF" w:rsidP="00270FBF">
            <w:pPr>
              <w:rPr>
                <w:rFonts w:ascii="Calibri" w:hAnsi="Calibri" w:cs="Calibri"/>
              </w:rPr>
            </w:pPr>
            <w:r w:rsidRPr="00E92C22">
              <w:rPr>
                <w:rFonts w:ascii="Calibri" w:hAnsi="Calibri" w:cs="Calibri"/>
              </w:rPr>
              <w:t xml:space="preserve">International Commission on Radiological Protection (ICRP) (2007). Extract from </w:t>
            </w:r>
            <w:proofErr w:type="gramStart"/>
            <w:r w:rsidRPr="00E92C22">
              <w:rPr>
                <w:rFonts w:ascii="Calibri" w:hAnsi="Calibri" w:cs="Calibri"/>
              </w:rPr>
              <w:t>The</w:t>
            </w:r>
            <w:proofErr w:type="gramEnd"/>
            <w:r w:rsidRPr="00E92C22">
              <w:rPr>
                <w:rFonts w:ascii="Calibri" w:hAnsi="Calibri" w:cs="Calibri"/>
              </w:rPr>
              <w:t xml:space="preserve"> 2007 recommendations of the International Commission on Radiological Protection. Annals of the ICRP, ICRP Publication 103, Elsevier.</w:t>
            </w:r>
          </w:p>
        </w:tc>
      </w:tr>
      <w:tr w:rsidR="00270FBF" w14:paraId="5FE9A47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29228D6" w14:textId="77777777" w:rsidR="00270FBF" w:rsidRPr="00E92C22" w:rsidRDefault="00270FBF" w:rsidP="00270FBF">
            <w:pPr>
              <w:jc w:val="center"/>
              <w:rPr>
                <w:rFonts w:ascii="Calibri" w:hAnsi="Calibri" w:cs="Calibri"/>
              </w:rPr>
            </w:pPr>
            <w:r w:rsidRPr="00E92C22">
              <w:rPr>
                <w:rFonts w:ascii="Calibri" w:hAnsi="Calibri" w:cs="Calibri"/>
              </w:rPr>
              <w:t>80753</w:t>
            </w:r>
          </w:p>
        </w:tc>
        <w:tc>
          <w:tcPr>
            <w:tcW w:w="7371" w:type="dxa"/>
            <w:tcBorders>
              <w:top w:val="single" w:sz="4" w:space="0" w:color="auto"/>
              <w:left w:val="single" w:sz="4" w:space="0" w:color="auto"/>
              <w:bottom w:val="single" w:sz="4" w:space="0" w:color="auto"/>
              <w:right w:val="single" w:sz="4" w:space="0" w:color="auto"/>
            </w:tcBorders>
            <w:hideMark/>
          </w:tcPr>
          <w:p w14:paraId="6C359D8A" w14:textId="77777777" w:rsidR="00270FBF" w:rsidRPr="00E92C22" w:rsidRDefault="00270FBF" w:rsidP="00270FBF">
            <w:pPr>
              <w:rPr>
                <w:rFonts w:ascii="Calibri" w:hAnsi="Calibri" w:cs="Calibri"/>
              </w:rPr>
            </w:pPr>
            <w:r w:rsidRPr="00E92C22">
              <w:rPr>
                <w:rFonts w:ascii="Calibri" w:hAnsi="Calibri" w:cs="Calibri"/>
              </w:rPr>
              <w:t>International Commission on Radiological Protection (ICRP) (2012). ICRP Statement on Tissue Reactions and Early and Late Effects of Radiation in Normal Tissues and Organs - Threshold Doses for Tissue Reactions in a Radiation Protection Context. Annals of the ICRP, ICRP Publication 118, Elsevier.</w:t>
            </w:r>
          </w:p>
        </w:tc>
      </w:tr>
      <w:tr w:rsidR="00270FBF" w14:paraId="2002771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156D095" w14:textId="77777777" w:rsidR="00270FBF" w:rsidRPr="00E92C22" w:rsidRDefault="00270FBF" w:rsidP="00270FBF">
            <w:pPr>
              <w:jc w:val="center"/>
              <w:rPr>
                <w:rFonts w:ascii="Calibri" w:hAnsi="Calibri" w:cs="Calibri"/>
              </w:rPr>
            </w:pPr>
            <w:r w:rsidRPr="00E92C22">
              <w:rPr>
                <w:rFonts w:ascii="Calibri" w:hAnsi="Calibri" w:cs="Calibri"/>
              </w:rPr>
              <w:t>65650</w:t>
            </w:r>
          </w:p>
        </w:tc>
        <w:tc>
          <w:tcPr>
            <w:tcW w:w="7371" w:type="dxa"/>
            <w:tcBorders>
              <w:top w:val="single" w:sz="4" w:space="0" w:color="auto"/>
              <w:left w:val="single" w:sz="4" w:space="0" w:color="auto"/>
              <w:bottom w:val="single" w:sz="4" w:space="0" w:color="auto"/>
              <w:right w:val="single" w:sz="4" w:space="0" w:color="auto"/>
            </w:tcBorders>
            <w:hideMark/>
          </w:tcPr>
          <w:p w14:paraId="1A8CA0D3" w14:textId="77777777" w:rsidR="00270FBF" w:rsidRPr="00E92C22" w:rsidRDefault="00270FBF" w:rsidP="00270FBF">
            <w:pPr>
              <w:rPr>
                <w:rFonts w:ascii="Calibri" w:hAnsi="Calibri" w:cs="Calibri"/>
              </w:rPr>
            </w:pPr>
            <w:r w:rsidRPr="00E92C22">
              <w:rPr>
                <w:rFonts w:ascii="Calibri" w:hAnsi="Calibri" w:cs="Calibri"/>
              </w:rPr>
              <w:t xml:space="preserve">Isern V, Lora-Tamayo J, Capdevila O, et al (2007). Sarcoidosis and autoimmune thyroid disease. A case series of ten patients. Sarcoidosis </w:t>
            </w:r>
            <w:proofErr w:type="spellStart"/>
            <w:r w:rsidRPr="00E92C22">
              <w:rPr>
                <w:rFonts w:ascii="Calibri" w:hAnsi="Calibri" w:cs="Calibri"/>
              </w:rPr>
              <w:t>Vasc</w:t>
            </w:r>
            <w:proofErr w:type="spellEnd"/>
            <w:r w:rsidRPr="00E92C22">
              <w:rPr>
                <w:rFonts w:ascii="Calibri" w:hAnsi="Calibri" w:cs="Calibri"/>
              </w:rPr>
              <w:t xml:space="preserve"> Diffuse Lung Dis, 24(2): 148-52.</w:t>
            </w:r>
          </w:p>
        </w:tc>
      </w:tr>
      <w:tr w:rsidR="00270FBF" w14:paraId="5642EBA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99EE521" w14:textId="77777777" w:rsidR="00270FBF" w:rsidRPr="00E92C22" w:rsidRDefault="00270FBF" w:rsidP="00270FBF">
            <w:pPr>
              <w:jc w:val="center"/>
              <w:rPr>
                <w:rFonts w:ascii="Calibri" w:hAnsi="Calibri" w:cs="Calibri"/>
              </w:rPr>
            </w:pPr>
            <w:r w:rsidRPr="00E92C22">
              <w:rPr>
                <w:rFonts w:ascii="Calibri" w:hAnsi="Calibri" w:cs="Calibri"/>
              </w:rPr>
              <w:t>43838</w:t>
            </w:r>
          </w:p>
        </w:tc>
        <w:tc>
          <w:tcPr>
            <w:tcW w:w="7371" w:type="dxa"/>
            <w:tcBorders>
              <w:top w:val="single" w:sz="4" w:space="0" w:color="auto"/>
              <w:left w:val="single" w:sz="4" w:space="0" w:color="auto"/>
              <w:bottom w:val="single" w:sz="4" w:space="0" w:color="auto"/>
              <w:right w:val="single" w:sz="4" w:space="0" w:color="auto"/>
            </w:tcBorders>
            <w:hideMark/>
          </w:tcPr>
          <w:p w14:paraId="7FC8D290" w14:textId="77777777" w:rsidR="00270FBF" w:rsidRPr="00E92C22" w:rsidRDefault="00270FBF" w:rsidP="00270FBF">
            <w:pPr>
              <w:rPr>
                <w:rFonts w:ascii="Calibri" w:hAnsi="Calibri" w:cs="Calibri"/>
              </w:rPr>
            </w:pPr>
            <w:r w:rsidRPr="00E92C22">
              <w:rPr>
                <w:rFonts w:ascii="Calibri" w:hAnsi="Calibri" w:cs="Calibri"/>
              </w:rPr>
              <w:t>Jameson JL, Mandel SJ, Weetman AP (2018). Hypothyroidism. Harrison's Principles of Internal Medicine, 20th Edition, Chapter 376. McGraw Hill.</w:t>
            </w:r>
          </w:p>
        </w:tc>
      </w:tr>
      <w:tr w:rsidR="00270FBF" w14:paraId="77D65B7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0564924" w14:textId="77777777" w:rsidR="00270FBF" w:rsidRPr="00E92C22" w:rsidRDefault="00270FBF" w:rsidP="00270FBF">
            <w:pPr>
              <w:jc w:val="center"/>
              <w:rPr>
                <w:rFonts w:ascii="Calibri" w:hAnsi="Calibri" w:cs="Calibri"/>
              </w:rPr>
            </w:pPr>
            <w:r w:rsidRPr="00E92C22">
              <w:rPr>
                <w:rFonts w:ascii="Calibri" w:hAnsi="Calibri" w:cs="Calibri"/>
              </w:rPr>
              <w:t>66938</w:t>
            </w:r>
          </w:p>
        </w:tc>
        <w:tc>
          <w:tcPr>
            <w:tcW w:w="7371" w:type="dxa"/>
            <w:tcBorders>
              <w:top w:val="single" w:sz="4" w:space="0" w:color="auto"/>
              <w:left w:val="single" w:sz="4" w:space="0" w:color="auto"/>
              <w:bottom w:val="single" w:sz="4" w:space="0" w:color="auto"/>
              <w:right w:val="single" w:sz="4" w:space="0" w:color="auto"/>
            </w:tcBorders>
            <w:hideMark/>
          </w:tcPr>
          <w:p w14:paraId="6940D91F" w14:textId="77777777" w:rsidR="00270FBF" w:rsidRPr="00E92C22" w:rsidRDefault="00270FBF" w:rsidP="00270FBF">
            <w:pPr>
              <w:rPr>
                <w:rFonts w:ascii="Calibri" w:hAnsi="Calibri" w:cs="Calibri"/>
              </w:rPr>
            </w:pPr>
            <w:r w:rsidRPr="00E92C22">
              <w:rPr>
                <w:rFonts w:ascii="Calibri" w:hAnsi="Calibri" w:cs="Calibri"/>
              </w:rPr>
              <w:t>Jameson JL, Weetman AP (2012). Disorders of the thyroid gland. Hypothyroidism. Harrison's Principles of Internal Medicine, 18th Edition, Chapter 341: 2918-22. McGraw Hill.</w:t>
            </w:r>
          </w:p>
        </w:tc>
      </w:tr>
      <w:tr w:rsidR="00270FBF" w14:paraId="6BB5E40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57EEE71" w14:textId="77777777" w:rsidR="00270FBF" w:rsidRPr="00E92C22" w:rsidRDefault="00270FBF" w:rsidP="00270FBF">
            <w:pPr>
              <w:jc w:val="center"/>
              <w:rPr>
                <w:rFonts w:ascii="Calibri" w:hAnsi="Calibri" w:cs="Calibri"/>
              </w:rPr>
            </w:pPr>
            <w:r w:rsidRPr="00E92C22">
              <w:rPr>
                <w:rFonts w:ascii="Calibri" w:hAnsi="Calibri" w:cs="Calibri"/>
              </w:rPr>
              <w:t>66165</w:t>
            </w:r>
          </w:p>
        </w:tc>
        <w:tc>
          <w:tcPr>
            <w:tcW w:w="7371" w:type="dxa"/>
            <w:tcBorders>
              <w:top w:val="single" w:sz="4" w:space="0" w:color="auto"/>
              <w:left w:val="single" w:sz="4" w:space="0" w:color="auto"/>
              <w:bottom w:val="single" w:sz="4" w:space="0" w:color="auto"/>
              <w:right w:val="single" w:sz="4" w:space="0" w:color="auto"/>
            </w:tcBorders>
            <w:hideMark/>
          </w:tcPr>
          <w:p w14:paraId="218E5093" w14:textId="77777777" w:rsidR="00270FBF" w:rsidRPr="00E92C22" w:rsidRDefault="00270FBF" w:rsidP="00270FBF">
            <w:pPr>
              <w:rPr>
                <w:rFonts w:ascii="Calibri" w:hAnsi="Calibri" w:cs="Calibri"/>
              </w:rPr>
            </w:pPr>
            <w:r w:rsidRPr="00E92C22">
              <w:rPr>
                <w:rFonts w:ascii="Calibri" w:hAnsi="Calibri" w:cs="Calibri"/>
              </w:rPr>
              <w:t xml:space="preserve">Jara LJ, Navarro C, Brito-Zeron </w:t>
            </w:r>
            <w:proofErr w:type="spellStart"/>
            <w:r w:rsidRPr="00E92C22">
              <w:rPr>
                <w:rFonts w:ascii="Calibri" w:hAnsi="Calibri" w:cs="Calibri"/>
              </w:rPr>
              <w:t>Mdel</w:t>
            </w:r>
            <w:proofErr w:type="spellEnd"/>
            <w:r w:rsidRPr="00E92C22">
              <w:rPr>
                <w:rFonts w:ascii="Calibri" w:hAnsi="Calibri" w:cs="Calibri"/>
              </w:rPr>
              <w:t xml:space="preserve"> P, et al (2007). Thyroid disease in Sjogren's syndrome. Clin </w:t>
            </w:r>
            <w:proofErr w:type="spellStart"/>
            <w:r w:rsidRPr="00E92C22">
              <w:rPr>
                <w:rFonts w:ascii="Calibri" w:hAnsi="Calibri" w:cs="Calibri"/>
              </w:rPr>
              <w:t>Rheumatol</w:t>
            </w:r>
            <w:proofErr w:type="spellEnd"/>
            <w:r w:rsidRPr="00E92C22">
              <w:rPr>
                <w:rFonts w:ascii="Calibri" w:hAnsi="Calibri" w:cs="Calibri"/>
              </w:rPr>
              <w:t>, 26(10): 1601-6.</w:t>
            </w:r>
          </w:p>
        </w:tc>
      </w:tr>
      <w:tr w:rsidR="00270FBF" w14:paraId="0EDBFDD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BFABFF5" w14:textId="77777777" w:rsidR="00270FBF" w:rsidRPr="00E92C22" w:rsidRDefault="00270FBF" w:rsidP="00270FBF">
            <w:pPr>
              <w:jc w:val="center"/>
              <w:rPr>
                <w:rFonts w:ascii="Calibri" w:hAnsi="Calibri" w:cs="Calibri"/>
              </w:rPr>
            </w:pPr>
            <w:r w:rsidRPr="00E92C22">
              <w:rPr>
                <w:rFonts w:ascii="Calibri" w:hAnsi="Calibri" w:cs="Calibri"/>
              </w:rPr>
              <w:t>36094</w:t>
            </w:r>
          </w:p>
        </w:tc>
        <w:tc>
          <w:tcPr>
            <w:tcW w:w="7371" w:type="dxa"/>
            <w:tcBorders>
              <w:top w:val="single" w:sz="4" w:space="0" w:color="auto"/>
              <w:left w:val="single" w:sz="4" w:space="0" w:color="auto"/>
              <w:bottom w:val="single" w:sz="4" w:space="0" w:color="auto"/>
              <w:right w:val="single" w:sz="4" w:space="0" w:color="auto"/>
            </w:tcBorders>
            <w:hideMark/>
          </w:tcPr>
          <w:p w14:paraId="1DA2EFF3" w14:textId="77777777" w:rsidR="00270FBF" w:rsidRPr="00E92C22" w:rsidRDefault="00270FBF" w:rsidP="00270FBF">
            <w:pPr>
              <w:rPr>
                <w:rFonts w:ascii="Calibri" w:hAnsi="Calibri" w:cs="Calibri"/>
              </w:rPr>
            </w:pPr>
            <w:r w:rsidRPr="00E92C22">
              <w:rPr>
                <w:rFonts w:ascii="Calibri" w:hAnsi="Calibri" w:cs="Calibri"/>
              </w:rPr>
              <w:t>Jereczek-Fossa BA, Alterio D, Jassem J, et al (2004). Radiotherapy-induced thyroid disorders. Cancer Treat Rev, 30(4): 369-84.</w:t>
            </w:r>
          </w:p>
        </w:tc>
      </w:tr>
      <w:tr w:rsidR="00270FBF" w14:paraId="30CD8AD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8A6F728" w14:textId="77777777" w:rsidR="00270FBF" w:rsidRPr="00E92C22" w:rsidRDefault="00270FBF" w:rsidP="00270FBF">
            <w:pPr>
              <w:jc w:val="center"/>
              <w:rPr>
                <w:rFonts w:ascii="Calibri" w:hAnsi="Calibri" w:cs="Calibri"/>
              </w:rPr>
            </w:pPr>
            <w:r w:rsidRPr="00E92C22">
              <w:rPr>
                <w:rFonts w:ascii="Calibri" w:hAnsi="Calibri" w:cs="Calibri"/>
              </w:rPr>
              <w:t>65348</w:t>
            </w:r>
          </w:p>
        </w:tc>
        <w:tc>
          <w:tcPr>
            <w:tcW w:w="7371" w:type="dxa"/>
            <w:tcBorders>
              <w:top w:val="single" w:sz="4" w:space="0" w:color="auto"/>
              <w:left w:val="single" w:sz="4" w:space="0" w:color="auto"/>
              <w:bottom w:val="single" w:sz="4" w:space="0" w:color="auto"/>
              <w:right w:val="single" w:sz="4" w:space="0" w:color="auto"/>
            </w:tcBorders>
            <w:hideMark/>
          </w:tcPr>
          <w:p w14:paraId="28647447" w14:textId="77777777" w:rsidR="00270FBF" w:rsidRPr="00E92C22" w:rsidRDefault="00270FBF" w:rsidP="00270FBF">
            <w:pPr>
              <w:rPr>
                <w:rFonts w:ascii="Calibri" w:hAnsi="Calibri" w:cs="Calibri"/>
              </w:rPr>
            </w:pPr>
            <w:r w:rsidRPr="00E92C22">
              <w:rPr>
                <w:rFonts w:ascii="Calibri" w:hAnsi="Calibri" w:cs="Calibri"/>
              </w:rPr>
              <w:t xml:space="preserve">Johnson ES, Shorter C, </w:t>
            </w:r>
            <w:proofErr w:type="spellStart"/>
            <w:r w:rsidRPr="00E92C22">
              <w:rPr>
                <w:rFonts w:ascii="Calibri" w:hAnsi="Calibri" w:cs="Calibri"/>
              </w:rPr>
              <w:t>Bestervelt</w:t>
            </w:r>
            <w:proofErr w:type="spellEnd"/>
            <w:r w:rsidRPr="00E92C22">
              <w:rPr>
                <w:rFonts w:ascii="Calibri" w:hAnsi="Calibri" w:cs="Calibri"/>
              </w:rPr>
              <w:t xml:space="preserve"> LL, et al (2001). Serum hormone levels in humans with low serum concentrations of 2,3,7,8-TCDD. </w:t>
            </w:r>
            <w:proofErr w:type="spellStart"/>
            <w:r w:rsidRPr="00E92C22">
              <w:rPr>
                <w:rFonts w:ascii="Calibri" w:hAnsi="Calibri" w:cs="Calibri"/>
              </w:rPr>
              <w:t>Toxicol</w:t>
            </w:r>
            <w:proofErr w:type="spellEnd"/>
            <w:r w:rsidRPr="00E92C22">
              <w:rPr>
                <w:rFonts w:ascii="Calibri" w:hAnsi="Calibri" w:cs="Calibri"/>
              </w:rPr>
              <w:t xml:space="preserve"> Ind Health, 17(4): 105-12.</w:t>
            </w:r>
          </w:p>
        </w:tc>
      </w:tr>
      <w:tr w:rsidR="00270FBF" w14:paraId="565EB61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854BCD6" w14:textId="77777777" w:rsidR="00270FBF" w:rsidRPr="00E92C22" w:rsidRDefault="00270FBF" w:rsidP="00270FBF">
            <w:pPr>
              <w:jc w:val="center"/>
              <w:rPr>
                <w:rFonts w:ascii="Calibri" w:hAnsi="Calibri" w:cs="Calibri"/>
              </w:rPr>
            </w:pPr>
            <w:r w:rsidRPr="00E92C22">
              <w:rPr>
                <w:rFonts w:ascii="Calibri" w:hAnsi="Calibri" w:cs="Calibri"/>
              </w:rPr>
              <w:t>102800</w:t>
            </w:r>
          </w:p>
        </w:tc>
        <w:tc>
          <w:tcPr>
            <w:tcW w:w="7371" w:type="dxa"/>
            <w:tcBorders>
              <w:top w:val="single" w:sz="4" w:space="0" w:color="auto"/>
              <w:left w:val="single" w:sz="4" w:space="0" w:color="auto"/>
              <w:bottom w:val="single" w:sz="4" w:space="0" w:color="auto"/>
              <w:right w:val="single" w:sz="4" w:space="0" w:color="auto"/>
            </w:tcBorders>
            <w:hideMark/>
          </w:tcPr>
          <w:p w14:paraId="45DD504F" w14:textId="77777777" w:rsidR="00270FBF" w:rsidRPr="00E92C22" w:rsidRDefault="00270FBF" w:rsidP="00270FBF">
            <w:pPr>
              <w:rPr>
                <w:rFonts w:ascii="Calibri" w:hAnsi="Calibri" w:cs="Calibri"/>
              </w:rPr>
            </w:pPr>
            <w:r w:rsidRPr="006E1170">
              <w:rPr>
                <w:rFonts w:ascii="Calibri" w:hAnsi="Calibri" w:cs="Calibri"/>
                <w:lang w:val="de-DE"/>
              </w:rPr>
              <w:t xml:space="preserve">Jung SJ, Kang JH, Roberts AL, et al (2019). </w:t>
            </w:r>
            <w:r w:rsidRPr="00E92C22">
              <w:rPr>
                <w:rFonts w:ascii="Calibri" w:hAnsi="Calibri" w:cs="Calibri"/>
              </w:rPr>
              <w:t>Posttraumatic stress disorder and incidence of thyroid dysfunction in women. Psychol Med, 49(15): 2551-60.</w:t>
            </w:r>
          </w:p>
        </w:tc>
      </w:tr>
      <w:tr w:rsidR="00270FBF" w14:paraId="6BC1421C"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A7DB1C9" w14:textId="77777777" w:rsidR="00270FBF" w:rsidRPr="00E92C22" w:rsidRDefault="00270FBF" w:rsidP="00270FBF">
            <w:pPr>
              <w:jc w:val="center"/>
              <w:rPr>
                <w:rFonts w:ascii="Calibri" w:hAnsi="Calibri" w:cs="Calibri"/>
              </w:rPr>
            </w:pPr>
            <w:r w:rsidRPr="00E92C22">
              <w:rPr>
                <w:rFonts w:ascii="Calibri" w:hAnsi="Calibri" w:cs="Calibri"/>
              </w:rPr>
              <w:t>102691</w:t>
            </w:r>
          </w:p>
        </w:tc>
        <w:tc>
          <w:tcPr>
            <w:tcW w:w="7371" w:type="dxa"/>
            <w:tcBorders>
              <w:top w:val="single" w:sz="4" w:space="0" w:color="auto"/>
              <w:left w:val="single" w:sz="4" w:space="0" w:color="auto"/>
              <w:bottom w:val="single" w:sz="4" w:space="0" w:color="auto"/>
              <w:right w:val="single" w:sz="4" w:space="0" w:color="auto"/>
            </w:tcBorders>
            <w:hideMark/>
          </w:tcPr>
          <w:p w14:paraId="131A1C6D" w14:textId="77777777" w:rsidR="00270FBF" w:rsidRPr="00E92C22" w:rsidRDefault="00270FBF" w:rsidP="00270FBF">
            <w:pPr>
              <w:rPr>
                <w:rFonts w:ascii="Calibri" w:hAnsi="Calibri" w:cs="Calibri"/>
              </w:rPr>
            </w:pPr>
            <w:r w:rsidRPr="006E1170">
              <w:rPr>
                <w:rFonts w:ascii="Calibri" w:hAnsi="Calibri" w:cs="Calibri"/>
                <w:lang w:val="de-DE"/>
              </w:rPr>
              <w:t xml:space="preserve">Kahaly GJ, Bartalena L, Hegedus L, et al (2018). </w:t>
            </w:r>
            <w:r w:rsidRPr="00E92C22">
              <w:rPr>
                <w:rFonts w:ascii="Calibri" w:hAnsi="Calibri" w:cs="Calibri"/>
              </w:rPr>
              <w:t xml:space="preserve">2018 European Thyroid Association guideline for the management of Graves' hyperthyroidism. </w:t>
            </w:r>
            <w:proofErr w:type="spellStart"/>
            <w:r w:rsidRPr="00E92C22">
              <w:rPr>
                <w:rFonts w:ascii="Calibri" w:hAnsi="Calibri" w:cs="Calibri"/>
              </w:rPr>
              <w:t>Eur</w:t>
            </w:r>
            <w:proofErr w:type="spellEnd"/>
            <w:r w:rsidRPr="00E92C22">
              <w:rPr>
                <w:rFonts w:ascii="Calibri" w:hAnsi="Calibri" w:cs="Calibri"/>
              </w:rPr>
              <w:t xml:space="preserve"> Thyroid J, 7(4): 167-86.</w:t>
            </w:r>
          </w:p>
        </w:tc>
      </w:tr>
      <w:tr w:rsidR="00270FBF" w14:paraId="42F1A05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0121512" w14:textId="77777777" w:rsidR="00270FBF" w:rsidRPr="00E92C22" w:rsidRDefault="00270FBF" w:rsidP="00270FBF">
            <w:pPr>
              <w:jc w:val="center"/>
              <w:rPr>
                <w:rFonts w:ascii="Calibri" w:hAnsi="Calibri" w:cs="Calibri"/>
              </w:rPr>
            </w:pPr>
            <w:r w:rsidRPr="00E92C22">
              <w:rPr>
                <w:rFonts w:ascii="Calibri" w:hAnsi="Calibri" w:cs="Calibri"/>
              </w:rPr>
              <w:t>66928</w:t>
            </w:r>
          </w:p>
        </w:tc>
        <w:tc>
          <w:tcPr>
            <w:tcW w:w="7371" w:type="dxa"/>
            <w:tcBorders>
              <w:top w:val="single" w:sz="4" w:space="0" w:color="auto"/>
              <w:left w:val="single" w:sz="4" w:space="0" w:color="auto"/>
              <w:bottom w:val="single" w:sz="4" w:space="0" w:color="auto"/>
              <w:right w:val="single" w:sz="4" w:space="0" w:color="auto"/>
            </w:tcBorders>
            <w:hideMark/>
          </w:tcPr>
          <w:p w14:paraId="00BF38C5" w14:textId="77777777" w:rsidR="00270FBF" w:rsidRPr="00E92C22" w:rsidRDefault="00270FBF" w:rsidP="00270FBF">
            <w:pPr>
              <w:rPr>
                <w:rFonts w:ascii="Calibri" w:hAnsi="Calibri" w:cs="Calibri"/>
              </w:rPr>
            </w:pPr>
            <w:r w:rsidRPr="006E1170">
              <w:rPr>
                <w:rFonts w:ascii="Calibri" w:hAnsi="Calibri" w:cs="Calibri"/>
                <w:lang w:val="de-DE"/>
              </w:rPr>
              <w:t xml:space="preserve">Kakleas K, Paschali E, Kefalas N, et al (2009). </w:t>
            </w:r>
            <w:r w:rsidRPr="00E92C22">
              <w:rPr>
                <w:rFonts w:ascii="Calibri" w:hAnsi="Calibri" w:cs="Calibri"/>
              </w:rPr>
              <w:t>Factors for thyroid autoimmunity in children and adolescents with type 1 diabetes mellitus. Ups J Med Sci, 114(4): 214-20.</w:t>
            </w:r>
          </w:p>
        </w:tc>
      </w:tr>
      <w:tr w:rsidR="00270FBF" w14:paraId="10CE5E6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AA08A49" w14:textId="77777777" w:rsidR="00270FBF" w:rsidRPr="00E92C22" w:rsidRDefault="00270FBF" w:rsidP="00270FBF">
            <w:pPr>
              <w:jc w:val="center"/>
              <w:rPr>
                <w:rFonts w:ascii="Calibri" w:hAnsi="Calibri" w:cs="Calibri"/>
              </w:rPr>
            </w:pPr>
            <w:r w:rsidRPr="00E92C22">
              <w:rPr>
                <w:rFonts w:ascii="Calibri" w:hAnsi="Calibri" w:cs="Calibri"/>
              </w:rPr>
              <w:t>41473</w:t>
            </w:r>
          </w:p>
        </w:tc>
        <w:tc>
          <w:tcPr>
            <w:tcW w:w="7371" w:type="dxa"/>
            <w:tcBorders>
              <w:top w:val="single" w:sz="4" w:space="0" w:color="auto"/>
              <w:left w:val="single" w:sz="4" w:space="0" w:color="auto"/>
              <w:bottom w:val="single" w:sz="4" w:space="0" w:color="auto"/>
              <w:right w:val="single" w:sz="4" w:space="0" w:color="auto"/>
            </w:tcBorders>
            <w:hideMark/>
          </w:tcPr>
          <w:p w14:paraId="0BE5FAAC" w14:textId="77777777" w:rsidR="00270FBF" w:rsidRPr="00E92C22" w:rsidRDefault="00270FBF" w:rsidP="00270FBF">
            <w:pPr>
              <w:rPr>
                <w:rFonts w:ascii="Calibri" w:hAnsi="Calibri" w:cs="Calibri"/>
              </w:rPr>
            </w:pPr>
            <w:r w:rsidRPr="00E92C22">
              <w:rPr>
                <w:rFonts w:ascii="Calibri" w:hAnsi="Calibri" w:cs="Calibri"/>
              </w:rPr>
              <w:t xml:space="preserve">Kalra S, Aggarwal S, Khandelwal D (2021). Thyroid dysfunction and dysmetabolic syndrome: The need for enhanced </w:t>
            </w:r>
            <w:proofErr w:type="spellStart"/>
            <w:r w:rsidRPr="00E92C22">
              <w:rPr>
                <w:rFonts w:ascii="Calibri" w:hAnsi="Calibri" w:cs="Calibri"/>
              </w:rPr>
              <w:t>thyrovigilance</w:t>
            </w:r>
            <w:proofErr w:type="spellEnd"/>
            <w:r w:rsidRPr="00E92C22">
              <w:rPr>
                <w:rFonts w:ascii="Calibri" w:hAnsi="Calibri" w:cs="Calibri"/>
              </w:rPr>
              <w:t xml:space="preserve"> strategies. Int J Endocrinol, 2021: 9641846.</w:t>
            </w:r>
          </w:p>
        </w:tc>
      </w:tr>
      <w:tr w:rsidR="00270FBF" w14:paraId="24A3F94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8080E39" w14:textId="77777777" w:rsidR="00270FBF" w:rsidRPr="00E92C22" w:rsidRDefault="00270FBF" w:rsidP="00270FBF">
            <w:pPr>
              <w:jc w:val="center"/>
              <w:rPr>
                <w:rFonts w:ascii="Calibri" w:hAnsi="Calibri" w:cs="Calibri"/>
              </w:rPr>
            </w:pPr>
            <w:r w:rsidRPr="00E92C22">
              <w:rPr>
                <w:rFonts w:ascii="Calibri" w:hAnsi="Calibri" w:cs="Calibri"/>
              </w:rPr>
              <w:t>102801</w:t>
            </w:r>
          </w:p>
        </w:tc>
        <w:tc>
          <w:tcPr>
            <w:tcW w:w="7371" w:type="dxa"/>
            <w:tcBorders>
              <w:top w:val="single" w:sz="4" w:space="0" w:color="auto"/>
              <w:left w:val="single" w:sz="4" w:space="0" w:color="auto"/>
              <w:bottom w:val="single" w:sz="4" w:space="0" w:color="auto"/>
              <w:right w:val="single" w:sz="4" w:space="0" w:color="auto"/>
            </w:tcBorders>
            <w:hideMark/>
          </w:tcPr>
          <w:p w14:paraId="48169020" w14:textId="77777777" w:rsidR="00270FBF" w:rsidRPr="00E92C22" w:rsidRDefault="00270FBF" w:rsidP="00270FBF">
            <w:pPr>
              <w:rPr>
                <w:rFonts w:ascii="Calibri" w:hAnsi="Calibri" w:cs="Calibri"/>
              </w:rPr>
            </w:pPr>
            <w:r w:rsidRPr="006E1170">
              <w:rPr>
                <w:rFonts w:ascii="Calibri" w:hAnsi="Calibri" w:cs="Calibri"/>
                <w:lang w:val="de-DE"/>
              </w:rPr>
              <w:t xml:space="preserve">Kamoi K, Tanaka M, Ikarashi T, et al (2006). </w:t>
            </w:r>
            <w:r w:rsidRPr="00E92C22">
              <w:rPr>
                <w:rFonts w:ascii="Calibri" w:hAnsi="Calibri" w:cs="Calibri"/>
              </w:rPr>
              <w:t xml:space="preserve">Effect of the 2004 mid </w:t>
            </w:r>
            <w:proofErr w:type="spellStart"/>
            <w:r w:rsidRPr="00E92C22">
              <w:rPr>
                <w:rFonts w:ascii="Calibri" w:hAnsi="Calibri" w:cs="Calibri"/>
              </w:rPr>
              <w:t>niigata</w:t>
            </w:r>
            <w:proofErr w:type="spellEnd"/>
            <w:r w:rsidRPr="00E92C22">
              <w:rPr>
                <w:rFonts w:ascii="Calibri" w:hAnsi="Calibri" w:cs="Calibri"/>
              </w:rPr>
              <w:t xml:space="preserve"> prefecture earthquake on patients with endocrine disorders. </w:t>
            </w:r>
            <w:proofErr w:type="spellStart"/>
            <w:r w:rsidRPr="00E92C22">
              <w:rPr>
                <w:rFonts w:ascii="Calibri" w:hAnsi="Calibri" w:cs="Calibri"/>
              </w:rPr>
              <w:t>Endocr</w:t>
            </w:r>
            <w:proofErr w:type="spellEnd"/>
            <w:r w:rsidRPr="00E92C22">
              <w:rPr>
                <w:rFonts w:ascii="Calibri" w:hAnsi="Calibri" w:cs="Calibri"/>
              </w:rPr>
              <w:t xml:space="preserve"> J, 53(4): 511-21.</w:t>
            </w:r>
          </w:p>
        </w:tc>
      </w:tr>
      <w:tr w:rsidR="00270FBF" w14:paraId="326EF94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19F414F" w14:textId="77777777" w:rsidR="00270FBF" w:rsidRPr="00E92C22" w:rsidRDefault="00270FBF" w:rsidP="00270FBF">
            <w:pPr>
              <w:jc w:val="center"/>
              <w:rPr>
                <w:rFonts w:ascii="Calibri" w:hAnsi="Calibri" w:cs="Calibri"/>
              </w:rPr>
            </w:pPr>
            <w:r w:rsidRPr="00E92C22">
              <w:rPr>
                <w:rFonts w:ascii="Calibri" w:hAnsi="Calibri" w:cs="Calibri"/>
              </w:rPr>
              <w:t>64570</w:t>
            </w:r>
          </w:p>
        </w:tc>
        <w:tc>
          <w:tcPr>
            <w:tcW w:w="7371" w:type="dxa"/>
            <w:tcBorders>
              <w:top w:val="single" w:sz="4" w:space="0" w:color="auto"/>
              <w:left w:val="single" w:sz="4" w:space="0" w:color="auto"/>
              <w:bottom w:val="single" w:sz="4" w:space="0" w:color="auto"/>
              <w:right w:val="single" w:sz="4" w:space="0" w:color="auto"/>
            </w:tcBorders>
            <w:hideMark/>
          </w:tcPr>
          <w:p w14:paraId="15993ABC" w14:textId="77777777" w:rsidR="00270FBF" w:rsidRPr="00E92C22" w:rsidRDefault="00270FBF" w:rsidP="00270FBF">
            <w:pPr>
              <w:rPr>
                <w:rFonts w:ascii="Calibri" w:hAnsi="Calibri" w:cs="Calibri"/>
              </w:rPr>
            </w:pPr>
            <w:r w:rsidRPr="00E92C22">
              <w:rPr>
                <w:rFonts w:ascii="Calibri" w:hAnsi="Calibri" w:cs="Calibri"/>
              </w:rPr>
              <w:t>Khandelwal D, Tandon N (2012). Overt and subclinical hypothyroidism: who to treat and how. Drugs, 72(1): 17-33.</w:t>
            </w:r>
          </w:p>
        </w:tc>
      </w:tr>
      <w:tr w:rsidR="00270FBF" w14:paraId="573BF8B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65D7DAB" w14:textId="77777777" w:rsidR="00270FBF" w:rsidRPr="00E92C22" w:rsidRDefault="00270FBF" w:rsidP="00270FBF">
            <w:pPr>
              <w:jc w:val="center"/>
              <w:rPr>
                <w:rFonts w:ascii="Calibri" w:hAnsi="Calibri" w:cs="Calibri"/>
              </w:rPr>
            </w:pPr>
            <w:r w:rsidRPr="00E92C22">
              <w:rPr>
                <w:rFonts w:ascii="Calibri" w:hAnsi="Calibri" w:cs="Calibri"/>
              </w:rPr>
              <w:t>98949</w:t>
            </w:r>
          </w:p>
        </w:tc>
        <w:tc>
          <w:tcPr>
            <w:tcW w:w="7371" w:type="dxa"/>
            <w:tcBorders>
              <w:top w:val="single" w:sz="4" w:space="0" w:color="auto"/>
              <w:left w:val="single" w:sz="4" w:space="0" w:color="auto"/>
              <w:bottom w:val="single" w:sz="4" w:space="0" w:color="auto"/>
              <w:right w:val="single" w:sz="4" w:space="0" w:color="auto"/>
            </w:tcBorders>
            <w:hideMark/>
          </w:tcPr>
          <w:p w14:paraId="2BAAEC67" w14:textId="77777777" w:rsidR="00270FBF" w:rsidRPr="00E92C22" w:rsidRDefault="00270FBF" w:rsidP="00270FBF">
            <w:pPr>
              <w:rPr>
                <w:rFonts w:ascii="Calibri" w:hAnsi="Calibri" w:cs="Calibri"/>
              </w:rPr>
            </w:pPr>
            <w:r w:rsidRPr="006E1170">
              <w:rPr>
                <w:rFonts w:ascii="Calibri" w:hAnsi="Calibri" w:cs="Calibri"/>
                <w:lang w:val="de-DE"/>
              </w:rPr>
              <w:t xml:space="preserve">Kibirige D, Luzinda K, Ssekitoleko R (2013). </w:t>
            </w:r>
            <w:r w:rsidRPr="00E92C22">
              <w:rPr>
                <w:rFonts w:ascii="Calibri" w:hAnsi="Calibri" w:cs="Calibri"/>
              </w:rPr>
              <w:t>Spectrum of lithium induced thyroid abnormalities: a current perspective. Thyroid Res, 6(1): 3.</w:t>
            </w:r>
          </w:p>
        </w:tc>
      </w:tr>
      <w:tr w:rsidR="00270FBF" w14:paraId="3512940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2C27C3F" w14:textId="77777777" w:rsidR="00270FBF" w:rsidRPr="00E92C22" w:rsidRDefault="00270FBF" w:rsidP="00270FBF">
            <w:pPr>
              <w:jc w:val="center"/>
              <w:rPr>
                <w:rFonts w:ascii="Calibri" w:hAnsi="Calibri" w:cs="Calibri"/>
              </w:rPr>
            </w:pPr>
            <w:r w:rsidRPr="00E92C22">
              <w:rPr>
                <w:rFonts w:ascii="Calibri" w:hAnsi="Calibri" w:cs="Calibri"/>
              </w:rPr>
              <w:t>99467</w:t>
            </w:r>
          </w:p>
        </w:tc>
        <w:tc>
          <w:tcPr>
            <w:tcW w:w="7371" w:type="dxa"/>
            <w:tcBorders>
              <w:top w:val="single" w:sz="4" w:space="0" w:color="auto"/>
              <w:left w:val="single" w:sz="4" w:space="0" w:color="auto"/>
              <w:bottom w:val="single" w:sz="4" w:space="0" w:color="auto"/>
              <w:right w:val="single" w:sz="4" w:space="0" w:color="auto"/>
            </w:tcBorders>
            <w:hideMark/>
          </w:tcPr>
          <w:p w14:paraId="6A2553F3" w14:textId="77777777" w:rsidR="00270FBF" w:rsidRPr="00E92C22" w:rsidRDefault="00270FBF" w:rsidP="00270FBF">
            <w:pPr>
              <w:rPr>
                <w:rFonts w:ascii="Calibri" w:hAnsi="Calibri" w:cs="Calibri"/>
              </w:rPr>
            </w:pPr>
            <w:r w:rsidRPr="00E92C22">
              <w:rPr>
                <w:rFonts w:ascii="Calibri" w:hAnsi="Calibri" w:cs="Calibri"/>
              </w:rPr>
              <w:t xml:space="preserve">Kim MJ, Park YJ (2019). Bisphenols and thyroid hormone. Endocrinol </w:t>
            </w:r>
            <w:proofErr w:type="spellStart"/>
            <w:r w:rsidRPr="00E92C22">
              <w:rPr>
                <w:rFonts w:ascii="Calibri" w:hAnsi="Calibri" w:cs="Calibri"/>
              </w:rPr>
              <w:t>Metab</w:t>
            </w:r>
            <w:proofErr w:type="spellEnd"/>
            <w:r w:rsidRPr="00E92C22">
              <w:rPr>
                <w:rFonts w:ascii="Calibri" w:hAnsi="Calibri" w:cs="Calibri"/>
              </w:rPr>
              <w:t xml:space="preserve"> (Seoul), 34(4): 340-8.</w:t>
            </w:r>
          </w:p>
        </w:tc>
      </w:tr>
      <w:tr w:rsidR="00270FBF" w14:paraId="7DB5D1E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4C5A8F6" w14:textId="77777777" w:rsidR="00270FBF" w:rsidRPr="00E92C22" w:rsidRDefault="00270FBF" w:rsidP="00270FBF">
            <w:pPr>
              <w:jc w:val="center"/>
              <w:rPr>
                <w:rFonts w:ascii="Calibri" w:hAnsi="Calibri" w:cs="Calibri"/>
              </w:rPr>
            </w:pPr>
            <w:r w:rsidRPr="00E92C22">
              <w:rPr>
                <w:rFonts w:ascii="Calibri" w:hAnsi="Calibri" w:cs="Calibri"/>
              </w:rPr>
              <w:lastRenderedPageBreak/>
              <w:t>102802</w:t>
            </w:r>
          </w:p>
        </w:tc>
        <w:tc>
          <w:tcPr>
            <w:tcW w:w="7371" w:type="dxa"/>
            <w:tcBorders>
              <w:top w:val="single" w:sz="4" w:space="0" w:color="auto"/>
              <w:left w:val="single" w:sz="4" w:space="0" w:color="auto"/>
              <w:bottom w:val="single" w:sz="4" w:space="0" w:color="auto"/>
              <w:right w:val="single" w:sz="4" w:space="0" w:color="auto"/>
            </w:tcBorders>
            <w:hideMark/>
          </w:tcPr>
          <w:p w14:paraId="4DEFA5BB" w14:textId="77777777" w:rsidR="00270FBF" w:rsidRPr="00E92C22" w:rsidRDefault="00270FBF" w:rsidP="00270FBF">
            <w:pPr>
              <w:rPr>
                <w:rFonts w:ascii="Calibri" w:hAnsi="Calibri" w:cs="Calibri"/>
              </w:rPr>
            </w:pPr>
            <w:r w:rsidRPr="00E92C22">
              <w:rPr>
                <w:rFonts w:ascii="Calibri" w:hAnsi="Calibri" w:cs="Calibri"/>
              </w:rPr>
              <w:t>Kim SJ, Kim MJ, Yoon SG, et al (2019). Impact of smoking on thyroid gland: dose-related effect of urinary cotinine levels on thyroid function and thyroid autoimmunity. Sci Rep, 9(1): 4213.</w:t>
            </w:r>
          </w:p>
        </w:tc>
      </w:tr>
      <w:tr w:rsidR="00270FBF" w14:paraId="6282926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3422BA9" w14:textId="77777777" w:rsidR="00270FBF" w:rsidRPr="00E92C22" w:rsidRDefault="00270FBF" w:rsidP="00270FBF">
            <w:pPr>
              <w:jc w:val="center"/>
              <w:rPr>
                <w:rFonts w:ascii="Calibri" w:hAnsi="Calibri" w:cs="Calibri"/>
              </w:rPr>
            </w:pPr>
            <w:r w:rsidRPr="00E92C22">
              <w:rPr>
                <w:rFonts w:ascii="Calibri" w:hAnsi="Calibri" w:cs="Calibri"/>
              </w:rPr>
              <w:t>99146</w:t>
            </w:r>
          </w:p>
        </w:tc>
        <w:tc>
          <w:tcPr>
            <w:tcW w:w="7371" w:type="dxa"/>
            <w:tcBorders>
              <w:top w:val="single" w:sz="4" w:space="0" w:color="auto"/>
              <w:left w:val="single" w:sz="4" w:space="0" w:color="auto"/>
              <w:bottom w:val="single" w:sz="4" w:space="0" w:color="auto"/>
              <w:right w:val="single" w:sz="4" w:space="0" w:color="auto"/>
            </w:tcBorders>
            <w:hideMark/>
          </w:tcPr>
          <w:p w14:paraId="5C91DAC5" w14:textId="77777777" w:rsidR="00270FBF" w:rsidRPr="00E92C22" w:rsidRDefault="00270FBF" w:rsidP="00270FBF">
            <w:pPr>
              <w:rPr>
                <w:rFonts w:ascii="Calibri" w:hAnsi="Calibri" w:cs="Calibri"/>
              </w:rPr>
            </w:pPr>
            <w:r w:rsidRPr="00E92C22">
              <w:rPr>
                <w:rFonts w:ascii="Calibri" w:hAnsi="Calibri" w:cs="Calibri"/>
              </w:rPr>
              <w:t>Kimura Y, Hayashida N, Takahashi J, et al (2016). Evaluation of thyroid antibodies and benign disease prevalence among young adults exposed to (</w:t>
            </w:r>
            <w:proofErr w:type="gramStart"/>
            <w:r w:rsidRPr="00E92C22">
              <w:rPr>
                <w:rFonts w:ascii="Calibri" w:hAnsi="Calibri" w:cs="Calibri"/>
              </w:rPr>
              <w:t>131)I</w:t>
            </w:r>
            <w:proofErr w:type="gramEnd"/>
            <w:r w:rsidRPr="00E92C22">
              <w:rPr>
                <w:rFonts w:ascii="Calibri" w:hAnsi="Calibri" w:cs="Calibri"/>
              </w:rPr>
              <w:t xml:space="preserve"> more than 25 years after the accident at the Chernobyl Nuclear Power Plant. </w:t>
            </w:r>
            <w:proofErr w:type="spellStart"/>
            <w:r w:rsidRPr="00E92C22">
              <w:rPr>
                <w:rFonts w:ascii="Calibri" w:hAnsi="Calibri" w:cs="Calibri"/>
              </w:rPr>
              <w:t>PeerJ</w:t>
            </w:r>
            <w:proofErr w:type="spellEnd"/>
            <w:r w:rsidRPr="00E92C22">
              <w:rPr>
                <w:rFonts w:ascii="Calibri" w:hAnsi="Calibri" w:cs="Calibri"/>
              </w:rPr>
              <w:t>, 4: e1774.</w:t>
            </w:r>
          </w:p>
        </w:tc>
      </w:tr>
      <w:tr w:rsidR="00270FBF" w14:paraId="27EB654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63672C6" w14:textId="77777777" w:rsidR="00270FBF" w:rsidRPr="00E92C22" w:rsidRDefault="00270FBF" w:rsidP="00270FBF">
            <w:pPr>
              <w:jc w:val="center"/>
              <w:rPr>
                <w:rFonts w:ascii="Calibri" w:hAnsi="Calibri" w:cs="Calibri"/>
              </w:rPr>
            </w:pPr>
            <w:r w:rsidRPr="00E92C22">
              <w:rPr>
                <w:rFonts w:ascii="Calibri" w:hAnsi="Calibri" w:cs="Calibri"/>
              </w:rPr>
              <w:t>65699</w:t>
            </w:r>
          </w:p>
        </w:tc>
        <w:tc>
          <w:tcPr>
            <w:tcW w:w="7371" w:type="dxa"/>
            <w:tcBorders>
              <w:top w:val="single" w:sz="4" w:space="0" w:color="auto"/>
              <w:left w:val="single" w:sz="4" w:space="0" w:color="auto"/>
              <w:bottom w:val="single" w:sz="4" w:space="0" w:color="auto"/>
              <w:right w:val="single" w:sz="4" w:space="0" w:color="auto"/>
            </w:tcBorders>
            <w:hideMark/>
          </w:tcPr>
          <w:p w14:paraId="31DDE01C" w14:textId="77777777" w:rsidR="00270FBF" w:rsidRPr="00E92C22" w:rsidRDefault="00270FBF" w:rsidP="00270FBF">
            <w:pPr>
              <w:rPr>
                <w:rFonts w:ascii="Calibri" w:hAnsi="Calibri" w:cs="Calibri"/>
              </w:rPr>
            </w:pPr>
            <w:proofErr w:type="spellStart"/>
            <w:r w:rsidRPr="00E92C22">
              <w:rPr>
                <w:rFonts w:ascii="Calibri" w:hAnsi="Calibri" w:cs="Calibri"/>
              </w:rPr>
              <w:t>Kivity</w:t>
            </w:r>
            <w:proofErr w:type="spellEnd"/>
            <w:r w:rsidRPr="00E92C22">
              <w:rPr>
                <w:rFonts w:ascii="Calibri" w:hAnsi="Calibri" w:cs="Calibri"/>
              </w:rPr>
              <w:t xml:space="preserve"> S, Agmon-Levin N, </w:t>
            </w:r>
            <w:proofErr w:type="spellStart"/>
            <w:r w:rsidRPr="00E92C22">
              <w:rPr>
                <w:rFonts w:ascii="Calibri" w:hAnsi="Calibri" w:cs="Calibri"/>
              </w:rPr>
              <w:t>Zisappl</w:t>
            </w:r>
            <w:proofErr w:type="spellEnd"/>
            <w:r w:rsidRPr="00E92C22">
              <w:rPr>
                <w:rFonts w:ascii="Calibri" w:hAnsi="Calibri" w:cs="Calibri"/>
              </w:rPr>
              <w:t xml:space="preserve"> M, et al (2011). Vitamin D and autoimmune thyroid diseases. Cell Mol Immunol, 8(3): 243-7.</w:t>
            </w:r>
          </w:p>
        </w:tc>
      </w:tr>
      <w:tr w:rsidR="00270FBF" w14:paraId="0BCD7D6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C98CC68" w14:textId="77777777" w:rsidR="00270FBF" w:rsidRPr="00E92C22" w:rsidRDefault="00270FBF" w:rsidP="00270FBF">
            <w:pPr>
              <w:jc w:val="center"/>
              <w:rPr>
                <w:rFonts w:ascii="Calibri" w:hAnsi="Calibri" w:cs="Calibri"/>
              </w:rPr>
            </w:pPr>
            <w:r w:rsidRPr="00E92C22">
              <w:rPr>
                <w:rFonts w:ascii="Calibri" w:hAnsi="Calibri" w:cs="Calibri"/>
              </w:rPr>
              <w:t>99468</w:t>
            </w:r>
          </w:p>
        </w:tc>
        <w:tc>
          <w:tcPr>
            <w:tcW w:w="7371" w:type="dxa"/>
            <w:tcBorders>
              <w:top w:val="single" w:sz="4" w:space="0" w:color="auto"/>
              <w:left w:val="single" w:sz="4" w:space="0" w:color="auto"/>
              <w:bottom w:val="single" w:sz="4" w:space="0" w:color="auto"/>
              <w:right w:val="single" w:sz="4" w:space="0" w:color="auto"/>
            </w:tcBorders>
            <w:hideMark/>
          </w:tcPr>
          <w:p w14:paraId="5CE65811" w14:textId="77777777" w:rsidR="00270FBF" w:rsidRPr="00E92C22" w:rsidRDefault="00270FBF" w:rsidP="00270FBF">
            <w:pPr>
              <w:rPr>
                <w:rFonts w:ascii="Calibri" w:hAnsi="Calibri" w:cs="Calibri"/>
              </w:rPr>
            </w:pPr>
            <w:proofErr w:type="spellStart"/>
            <w:r w:rsidRPr="00E92C22">
              <w:rPr>
                <w:rFonts w:ascii="Calibri" w:hAnsi="Calibri" w:cs="Calibri"/>
              </w:rPr>
              <w:t>Klubo-Gwiezdzinska</w:t>
            </w:r>
            <w:proofErr w:type="spellEnd"/>
            <w:r w:rsidRPr="00E92C22">
              <w:rPr>
                <w:rFonts w:ascii="Calibri" w:hAnsi="Calibri" w:cs="Calibri"/>
              </w:rPr>
              <w:t xml:space="preserve"> J, </w:t>
            </w:r>
            <w:proofErr w:type="spellStart"/>
            <w:r w:rsidRPr="00E92C22">
              <w:rPr>
                <w:rFonts w:ascii="Calibri" w:hAnsi="Calibri" w:cs="Calibri"/>
              </w:rPr>
              <w:t>Wartofsky</w:t>
            </w:r>
            <w:proofErr w:type="spellEnd"/>
            <w:r w:rsidRPr="00E92C22">
              <w:rPr>
                <w:rFonts w:ascii="Calibri" w:hAnsi="Calibri" w:cs="Calibri"/>
              </w:rPr>
              <w:t xml:space="preserve"> L (2012). Thyroid emergencies. Med Clin North Am, 96(2): 385-403.</w:t>
            </w:r>
          </w:p>
        </w:tc>
      </w:tr>
      <w:tr w:rsidR="00270FBF" w14:paraId="15D676A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550FAEF" w14:textId="77777777" w:rsidR="00270FBF" w:rsidRPr="00E92C22" w:rsidRDefault="00270FBF" w:rsidP="00270FBF">
            <w:pPr>
              <w:jc w:val="center"/>
              <w:rPr>
                <w:rFonts w:ascii="Calibri" w:hAnsi="Calibri" w:cs="Calibri"/>
              </w:rPr>
            </w:pPr>
            <w:r w:rsidRPr="00E92C22">
              <w:rPr>
                <w:rFonts w:ascii="Calibri" w:hAnsi="Calibri" w:cs="Calibri"/>
              </w:rPr>
              <w:t>102930</w:t>
            </w:r>
          </w:p>
        </w:tc>
        <w:tc>
          <w:tcPr>
            <w:tcW w:w="7371" w:type="dxa"/>
            <w:tcBorders>
              <w:top w:val="single" w:sz="4" w:space="0" w:color="auto"/>
              <w:left w:val="single" w:sz="4" w:space="0" w:color="auto"/>
              <w:bottom w:val="single" w:sz="4" w:space="0" w:color="auto"/>
              <w:right w:val="single" w:sz="4" w:space="0" w:color="auto"/>
            </w:tcBorders>
            <w:hideMark/>
          </w:tcPr>
          <w:p w14:paraId="6EB7A233" w14:textId="77777777" w:rsidR="00270FBF" w:rsidRPr="00E92C22" w:rsidRDefault="00270FBF" w:rsidP="00270FBF">
            <w:pPr>
              <w:rPr>
                <w:rFonts w:ascii="Calibri" w:hAnsi="Calibri" w:cs="Calibri"/>
              </w:rPr>
            </w:pPr>
            <w:r w:rsidRPr="00E92C22">
              <w:rPr>
                <w:rFonts w:ascii="Calibri" w:hAnsi="Calibri" w:cs="Calibri"/>
              </w:rPr>
              <w:t>Knack RS, Hanada T, Knack RS, et al (2021). Hashimoto's thyroiditis following SARS-CoV-2 infection. BMJ Case Rep, 14(8): e244909.</w:t>
            </w:r>
          </w:p>
        </w:tc>
      </w:tr>
      <w:tr w:rsidR="00270FBF" w14:paraId="1895613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F922BA5" w14:textId="77777777" w:rsidR="00270FBF" w:rsidRPr="00E92C22" w:rsidRDefault="00270FBF" w:rsidP="00270FBF">
            <w:pPr>
              <w:jc w:val="center"/>
              <w:rPr>
                <w:rFonts w:ascii="Calibri" w:hAnsi="Calibri" w:cs="Calibri"/>
              </w:rPr>
            </w:pPr>
            <w:r w:rsidRPr="00E92C22">
              <w:rPr>
                <w:rFonts w:ascii="Calibri" w:hAnsi="Calibri" w:cs="Calibri"/>
              </w:rPr>
              <w:t>99147</w:t>
            </w:r>
          </w:p>
        </w:tc>
        <w:tc>
          <w:tcPr>
            <w:tcW w:w="7371" w:type="dxa"/>
            <w:tcBorders>
              <w:top w:val="single" w:sz="4" w:space="0" w:color="auto"/>
              <w:left w:val="single" w:sz="4" w:space="0" w:color="auto"/>
              <w:bottom w:val="single" w:sz="4" w:space="0" w:color="auto"/>
              <w:right w:val="single" w:sz="4" w:space="0" w:color="auto"/>
            </w:tcBorders>
            <w:hideMark/>
          </w:tcPr>
          <w:p w14:paraId="05A15062" w14:textId="77777777" w:rsidR="00270FBF" w:rsidRPr="00E92C22" w:rsidRDefault="00270FBF" w:rsidP="00270FBF">
            <w:pPr>
              <w:rPr>
                <w:rFonts w:ascii="Calibri" w:hAnsi="Calibri" w:cs="Calibri"/>
              </w:rPr>
            </w:pPr>
            <w:r w:rsidRPr="00E92C22">
              <w:rPr>
                <w:rFonts w:ascii="Calibri" w:hAnsi="Calibri" w:cs="Calibri"/>
              </w:rPr>
              <w:t xml:space="preserve">Knobel M (2016). Etiopathology, clinical features, and treatment of diffuse and multinodular nontoxic </w:t>
            </w:r>
            <w:proofErr w:type="spellStart"/>
            <w:r w:rsidRPr="00E92C22">
              <w:rPr>
                <w:rFonts w:ascii="Calibri" w:hAnsi="Calibri" w:cs="Calibri"/>
              </w:rPr>
              <w:t>goiters</w:t>
            </w:r>
            <w:proofErr w:type="spellEnd"/>
            <w:r w:rsidRPr="00E92C22">
              <w:rPr>
                <w:rFonts w:ascii="Calibri" w:hAnsi="Calibri" w:cs="Calibri"/>
              </w:rPr>
              <w:t>. J Endocrinol Invest, 39(4): 357-73.</w:t>
            </w:r>
          </w:p>
        </w:tc>
      </w:tr>
      <w:tr w:rsidR="00270FBF" w14:paraId="4B898AB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5C076B8" w14:textId="77777777" w:rsidR="00270FBF" w:rsidRPr="00E92C22" w:rsidRDefault="00270FBF" w:rsidP="00270FBF">
            <w:pPr>
              <w:jc w:val="center"/>
              <w:rPr>
                <w:rFonts w:ascii="Calibri" w:hAnsi="Calibri" w:cs="Calibri"/>
              </w:rPr>
            </w:pPr>
            <w:r w:rsidRPr="00E92C22">
              <w:rPr>
                <w:rFonts w:ascii="Calibri" w:hAnsi="Calibri" w:cs="Calibri"/>
              </w:rPr>
              <w:t>67006</w:t>
            </w:r>
          </w:p>
        </w:tc>
        <w:tc>
          <w:tcPr>
            <w:tcW w:w="7371" w:type="dxa"/>
            <w:tcBorders>
              <w:top w:val="single" w:sz="4" w:space="0" w:color="auto"/>
              <w:left w:val="single" w:sz="4" w:space="0" w:color="auto"/>
              <w:bottom w:val="single" w:sz="4" w:space="0" w:color="auto"/>
              <w:right w:val="single" w:sz="4" w:space="0" w:color="auto"/>
            </w:tcBorders>
            <w:hideMark/>
          </w:tcPr>
          <w:p w14:paraId="3397399A" w14:textId="77777777" w:rsidR="00270FBF" w:rsidRPr="00E92C22" w:rsidRDefault="00270FBF" w:rsidP="00270FBF">
            <w:pPr>
              <w:rPr>
                <w:rFonts w:ascii="Calibri" w:hAnsi="Calibri" w:cs="Calibri"/>
              </w:rPr>
            </w:pPr>
            <w:proofErr w:type="spellStart"/>
            <w:r w:rsidRPr="00E92C22">
              <w:rPr>
                <w:rFonts w:ascii="Calibri" w:hAnsi="Calibri" w:cs="Calibri"/>
              </w:rPr>
              <w:t>Kogevinas</w:t>
            </w:r>
            <w:proofErr w:type="spellEnd"/>
            <w:r w:rsidRPr="00E92C22">
              <w:rPr>
                <w:rFonts w:ascii="Calibri" w:hAnsi="Calibri" w:cs="Calibri"/>
              </w:rPr>
              <w:t xml:space="preserve"> M (2001). Human health effects of dioxins: cancer, reproductive and endocrine system effects. Hum </w:t>
            </w:r>
            <w:proofErr w:type="spellStart"/>
            <w:r w:rsidRPr="00E92C22">
              <w:rPr>
                <w:rFonts w:ascii="Calibri" w:hAnsi="Calibri" w:cs="Calibri"/>
              </w:rPr>
              <w:t>Reprod</w:t>
            </w:r>
            <w:proofErr w:type="spellEnd"/>
            <w:r w:rsidRPr="00E92C22">
              <w:rPr>
                <w:rFonts w:ascii="Calibri" w:hAnsi="Calibri" w:cs="Calibri"/>
              </w:rPr>
              <w:t xml:space="preserve"> Update, 7(3): 331-9.</w:t>
            </w:r>
          </w:p>
        </w:tc>
      </w:tr>
      <w:tr w:rsidR="00270FBF" w14:paraId="4C04E07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69C1434" w14:textId="77777777" w:rsidR="00270FBF" w:rsidRPr="00E92C22" w:rsidRDefault="00270FBF" w:rsidP="00270FBF">
            <w:pPr>
              <w:jc w:val="center"/>
              <w:rPr>
                <w:rFonts w:ascii="Calibri" w:hAnsi="Calibri" w:cs="Calibri"/>
              </w:rPr>
            </w:pPr>
            <w:r w:rsidRPr="00E92C22">
              <w:rPr>
                <w:rFonts w:ascii="Calibri" w:hAnsi="Calibri" w:cs="Calibri"/>
              </w:rPr>
              <w:t>99150</w:t>
            </w:r>
          </w:p>
        </w:tc>
        <w:tc>
          <w:tcPr>
            <w:tcW w:w="7371" w:type="dxa"/>
            <w:tcBorders>
              <w:top w:val="single" w:sz="4" w:space="0" w:color="auto"/>
              <w:left w:val="single" w:sz="4" w:space="0" w:color="auto"/>
              <w:bottom w:val="single" w:sz="4" w:space="0" w:color="auto"/>
              <w:right w:val="single" w:sz="4" w:space="0" w:color="auto"/>
            </w:tcBorders>
            <w:hideMark/>
          </w:tcPr>
          <w:p w14:paraId="5CBFFAC9" w14:textId="77777777" w:rsidR="00270FBF" w:rsidRPr="00E92C22" w:rsidRDefault="00270FBF" w:rsidP="00270FBF">
            <w:pPr>
              <w:rPr>
                <w:rFonts w:ascii="Calibri" w:hAnsi="Calibri" w:cs="Calibri"/>
              </w:rPr>
            </w:pPr>
            <w:proofErr w:type="spellStart"/>
            <w:r w:rsidRPr="00E92C22">
              <w:rPr>
                <w:rFonts w:ascii="Calibri" w:hAnsi="Calibri" w:cs="Calibri"/>
              </w:rPr>
              <w:t>Kozielewicz</w:t>
            </w:r>
            <w:proofErr w:type="spellEnd"/>
            <w:r w:rsidRPr="00E92C22">
              <w:rPr>
                <w:rFonts w:ascii="Calibri" w:hAnsi="Calibri" w:cs="Calibri"/>
              </w:rPr>
              <w:t xml:space="preserve"> D, </w:t>
            </w:r>
            <w:proofErr w:type="spellStart"/>
            <w:r w:rsidRPr="00E92C22">
              <w:rPr>
                <w:rFonts w:ascii="Calibri" w:hAnsi="Calibri" w:cs="Calibri"/>
              </w:rPr>
              <w:t>Halota</w:t>
            </w:r>
            <w:proofErr w:type="spellEnd"/>
            <w:r w:rsidRPr="00E92C22">
              <w:rPr>
                <w:rFonts w:ascii="Calibri" w:hAnsi="Calibri" w:cs="Calibri"/>
              </w:rPr>
              <w:t xml:space="preserve"> W (2012). Interferon-induced thyroiditis during treatment of chronic hepatitis C. </w:t>
            </w:r>
            <w:proofErr w:type="spellStart"/>
            <w:r w:rsidRPr="00E92C22">
              <w:rPr>
                <w:rFonts w:ascii="Calibri" w:hAnsi="Calibri" w:cs="Calibri"/>
              </w:rPr>
              <w:t>Endokrynol</w:t>
            </w:r>
            <w:proofErr w:type="spellEnd"/>
            <w:r w:rsidRPr="00E92C22">
              <w:rPr>
                <w:rFonts w:ascii="Calibri" w:hAnsi="Calibri" w:cs="Calibri"/>
              </w:rPr>
              <w:t xml:space="preserve"> Pol, 63(1): 66-70.</w:t>
            </w:r>
          </w:p>
        </w:tc>
      </w:tr>
      <w:tr w:rsidR="00270FBF" w14:paraId="49EF4C5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2230658" w14:textId="77777777" w:rsidR="00270FBF" w:rsidRPr="00E92C22" w:rsidRDefault="00270FBF" w:rsidP="00270FBF">
            <w:pPr>
              <w:jc w:val="center"/>
              <w:rPr>
                <w:rFonts w:ascii="Calibri" w:hAnsi="Calibri" w:cs="Calibri"/>
              </w:rPr>
            </w:pPr>
            <w:r w:rsidRPr="00E92C22">
              <w:rPr>
                <w:rFonts w:ascii="Calibri" w:hAnsi="Calibri" w:cs="Calibri"/>
              </w:rPr>
              <w:t>67016</w:t>
            </w:r>
          </w:p>
        </w:tc>
        <w:tc>
          <w:tcPr>
            <w:tcW w:w="7371" w:type="dxa"/>
            <w:tcBorders>
              <w:top w:val="single" w:sz="4" w:space="0" w:color="auto"/>
              <w:left w:val="single" w:sz="4" w:space="0" w:color="auto"/>
              <w:bottom w:val="single" w:sz="4" w:space="0" w:color="auto"/>
              <w:right w:val="single" w:sz="4" w:space="0" w:color="auto"/>
            </w:tcBorders>
            <w:hideMark/>
          </w:tcPr>
          <w:p w14:paraId="44B7601F" w14:textId="77777777" w:rsidR="00270FBF" w:rsidRPr="00E92C22" w:rsidRDefault="00270FBF" w:rsidP="00270FBF">
            <w:pPr>
              <w:rPr>
                <w:rFonts w:ascii="Calibri" w:hAnsi="Calibri" w:cs="Calibri"/>
              </w:rPr>
            </w:pPr>
            <w:proofErr w:type="spellStart"/>
            <w:r w:rsidRPr="00E92C22">
              <w:rPr>
                <w:rFonts w:ascii="Calibri" w:hAnsi="Calibri" w:cs="Calibri"/>
              </w:rPr>
              <w:t>Krassas</w:t>
            </w:r>
            <w:proofErr w:type="spellEnd"/>
            <w:r w:rsidRPr="00E92C22">
              <w:rPr>
                <w:rFonts w:ascii="Calibri" w:hAnsi="Calibri" w:cs="Calibri"/>
              </w:rPr>
              <w:t xml:space="preserve"> GE, </w:t>
            </w:r>
            <w:proofErr w:type="spellStart"/>
            <w:r w:rsidRPr="00E92C22">
              <w:rPr>
                <w:rFonts w:ascii="Calibri" w:hAnsi="Calibri" w:cs="Calibri"/>
              </w:rPr>
              <w:t>Wiersinga</w:t>
            </w:r>
            <w:proofErr w:type="spellEnd"/>
            <w:r w:rsidRPr="00E92C22">
              <w:rPr>
                <w:rFonts w:ascii="Calibri" w:hAnsi="Calibri" w:cs="Calibri"/>
              </w:rPr>
              <w:t xml:space="preserve"> W (2006). Smoking and autoimmune thyroid disease: the plot thickens. </w:t>
            </w:r>
            <w:proofErr w:type="spellStart"/>
            <w:r w:rsidRPr="00E92C22">
              <w:rPr>
                <w:rFonts w:ascii="Calibri" w:hAnsi="Calibri" w:cs="Calibri"/>
              </w:rPr>
              <w:t>Eur</w:t>
            </w:r>
            <w:proofErr w:type="spellEnd"/>
            <w:r w:rsidRPr="00E92C22">
              <w:rPr>
                <w:rFonts w:ascii="Calibri" w:hAnsi="Calibri" w:cs="Calibri"/>
              </w:rPr>
              <w:t xml:space="preserve"> J Endocrinol, 154(6): 777-80.</w:t>
            </w:r>
          </w:p>
        </w:tc>
      </w:tr>
      <w:tr w:rsidR="00270FBF" w14:paraId="2C0E147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C519A72" w14:textId="77777777" w:rsidR="00270FBF" w:rsidRPr="00E92C22" w:rsidRDefault="00270FBF" w:rsidP="00270FBF">
            <w:pPr>
              <w:jc w:val="center"/>
              <w:rPr>
                <w:rFonts w:ascii="Calibri" w:hAnsi="Calibri" w:cs="Calibri"/>
              </w:rPr>
            </w:pPr>
            <w:r w:rsidRPr="00E92C22">
              <w:rPr>
                <w:rFonts w:ascii="Calibri" w:hAnsi="Calibri" w:cs="Calibri"/>
              </w:rPr>
              <w:t>102803</w:t>
            </w:r>
          </w:p>
        </w:tc>
        <w:tc>
          <w:tcPr>
            <w:tcW w:w="7371" w:type="dxa"/>
            <w:tcBorders>
              <w:top w:val="single" w:sz="4" w:space="0" w:color="auto"/>
              <w:left w:val="single" w:sz="4" w:space="0" w:color="auto"/>
              <w:bottom w:val="single" w:sz="4" w:space="0" w:color="auto"/>
              <w:right w:val="single" w:sz="4" w:space="0" w:color="auto"/>
            </w:tcBorders>
            <w:hideMark/>
          </w:tcPr>
          <w:p w14:paraId="619F019F" w14:textId="77777777" w:rsidR="00270FBF" w:rsidRPr="00E92C22" w:rsidRDefault="00270FBF" w:rsidP="00270FBF">
            <w:pPr>
              <w:rPr>
                <w:rFonts w:ascii="Calibri" w:hAnsi="Calibri" w:cs="Calibri"/>
              </w:rPr>
            </w:pPr>
            <w:proofErr w:type="spellStart"/>
            <w:r w:rsidRPr="00E92C22">
              <w:rPr>
                <w:rFonts w:ascii="Calibri" w:hAnsi="Calibri" w:cs="Calibri"/>
              </w:rPr>
              <w:t>Krutilova</w:t>
            </w:r>
            <w:proofErr w:type="spellEnd"/>
            <w:r w:rsidRPr="00E92C22">
              <w:rPr>
                <w:rFonts w:ascii="Calibri" w:hAnsi="Calibri" w:cs="Calibri"/>
              </w:rPr>
              <w:t xml:space="preserve"> P, Patel S, </w:t>
            </w:r>
            <w:proofErr w:type="spellStart"/>
            <w:r w:rsidRPr="00E92C22">
              <w:rPr>
                <w:rFonts w:ascii="Calibri" w:hAnsi="Calibri" w:cs="Calibri"/>
              </w:rPr>
              <w:t>Yadullahi</w:t>
            </w:r>
            <w:proofErr w:type="spellEnd"/>
            <w:r w:rsidRPr="00E92C22">
              <w:rPr>
                <w:rFonts w:ascii="Calibri" w:hAnsi="Calibri" w:cs="Calibri"/>
              </w:rPr>
              <w:t xml:space="preserve"> WA, et al (2020). A case of cardiac arrest due to Hashimoto’s thyroiditis associated cardiac tamponade. J </w:t>
            </w:r>
            <w:proofErr w:type="spellStart"/>
            <w:r w:rsidRPr="00E92C22">
              <w:rPr>
                <w:rFonts w:ascii="Calibri" w:hAnsi="Calibri" w:cs="Calibri"/>
              </w:rPr>
              <w:t>Endocr</w:t>
            </w:r>
            <w:proofErr w:type="spellEnd"/>
            <w:r w:rsidRPr="00E92C22">
              <w:rPr>
                <w:rFonts w:ascii="Calibri" w:hAnsi="Calibri" w:cs="Calibri"/>
              </w:rPr>
              <w:t xml:space="preserve"> Soc, 4(Suppl 1): A278-9.</w:t>
            </w:r>
          </w:p>
        </w:tc>
      </w:tr>
      <w:tr w:rsidR="00270FBF" w14:paraId="53031B5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334F68C" w14:textId="77777777" w:rsidR="00270FBF" w:rsidRPr="00E92C22" w:rsidRDefault="00270FBF" w:rsidP="00270FBF">
            <w:pPr>
              <w:jc w:val="center"/>
              <w:rPr>
                <w:rFonts w:ascii="Calibri" w:hAnsi="Calibri" w:cs="Calibri"/>
              </w:rPr>
            </w:pPr>
            <w:r w:rsidRPr="00E92C22">
              <w:rPr>
                <w:rFonts w:ascii="Calibri" w:hAnsi="Calibri" w:cs="Calibri"/>
              </w:rPr>
              <w:t>80731</w:t>
            </w:r>
          </w:p>
        </w:tc>
        <w:tc>
          <w:tcPr>
            <w:tcW w:w="7371" w:type="dxa"/>
            <w:tcBorders>
              <w:top w:val="single" w:sz="4" w:space="0" w:color="auto"/>
              <w:left w:val="single" w:sz="4" w:space="0" w:color="auto"/>
              <w:bottom w:val="single" w:sz="4" w:space="0" w:color="auto"/>
              <w:right w:val="single" w:sz="4" w:space="0" w:color="auto"/>
            </w:tcBorders>
            <w:hideMark/>
          </w:tcPr>
          <w:p w14:paraId="11E32B5C" w14:textId="77777777" w:rsidR="00270FBF" w:rsidRPr="00E92C22" w:rsidRDefault="00270FBF" w:rsidP="00270FBF">
            <w:pPr>
              <w:rPr>
                <w:rFonts w:ascii="Calibri" w:hAnsi="Calibri" w:cs="Calibri"/>
              </w:rPr>
            </w:pPr>
            <w:r w:rsidRPr="00E92C22">
              <w:rPr>
                <w:rFonts w:ascii="Calibri" w:hAnsi="Calibri" w:cs="Calibri"/>
              </w:rPr>
              <w:t xml:space="preserve">Kuznetsova IS, </w:t>
            </w:r>
            <w:proofErr w:type="spellStart"/>
            <w:r w:rsidRPr="00E92C22">
              <w:rPr>
                <w:rFonts w:ascii="Calibri" w:hAnsi="Calibri" w:cs="Calibri"/>
              </w:rPr>
              <w:t>Labutina</w:t>
            </w:r>
            <w:proofErr w:type="spellEnd"/>
            <w:r w:rsidRPr="00E92C22">
              <w:rPr>
                <w:rFonts w:ascii="Calibri" w:hAnsi="Calibri" w:cs="Calibri"/>
              </w:rPr>
              <w:t xml:space="preserve"> EV, Hunter N (2016). Radiation risks of leukemia, lymphoma and multiple myeloma incidence in the Mayak cohort: 1948-2004. </w:t>
            </w:r>
            <w:proofErr w:type="spellStart"/>
            <w:r w:rsidRPr="00E92C22">
              <w:rPr>
                <w:rFonts w:ascii="Calibri" w:hAnsi="Calibri" w:cs="Calibri"/>
              </w:rPr>
              <w:t>PLoS</w:t>
            </w:r>
            <w:proofErr w:type="spellEnd"/>
            <w:r w:rsidRPr="00E92C22">
              <w:rPr>
                <w:rFonts w:ascii="Calibri" w:hAnsi="Calibri" w:cs="Calibri"/>
              </w:rPr>
              <w:t xml:space="preserve"> One, 11(9): e0162710.</w:t>
            </w:r>
          </w:p>
        </w:tc>
      </w:tr>
      <w:tr w:rsidR="00270FBF" w14:paraId="128445A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93DF922" w14:textId="77777777" w:rsidR="00270FBF" w:rsidRPr="00E92C22" w:rsidRDefault="00270FBF" w:rsidP="00270FBF">
            <w:pPr>
              <w:jc w:val="center"/>
              <w:rPr>
                <w:rFonts w:ascii="Calibri" w:hAnsi="Calibri" w:cs="Calibri"/>
              </w:rPr>
            </w:pPr>
            <w:r w:rsidRPr="00E92C22">
              <w:rPr>
                <w:rFonts w:ascii="Calibri" w:hAnsi="Calibri" w:cs="Calibri"/>
              </w:rPr>
              <w:t>102936</w:t>
            </w:r>
          </w:p>
        </w:tc>
        <w:tc>
          <w:tcPr>
            <w:tcW w:w="7371" w:type="dxa"/>
            <w:tcBorders>
              <w:top w:val="single" w:sz="4" w:space="0" w:color="auto"/>
              <w:left w:val="single" w:sz="4" w:space="0" w:color="auto"/>
              <w:bottom w:val="single" w:sz="4" w:space="0" w:color="auto"/>
              <w:right w:val="single" w:sz="4" w:space="0" w:color="auto"/>
            </w:tcBorders>
            <w:hideMark/>
          </w:tcPr>
          <w:p w14:paraId="198B5D3A" w14:textId="77777777" w:rsidR="00270FBF" w:rsidRPr="00E92C22" w:rsidRDefault="00270FBF" w:rsidP="00270FBF">
            <w:pPr>
              <w:rPr>
                <w:rFonts w:ascii="Calibri" w:hAnsi="Calibri" w:cs="Calibri"/>
              </w:rPr>
            </w:pPr>
            <w:r w:rsidRPr="00E92C22">
              <w:rPr>
                <w:rFonts w:ascii="Calibri" w:hAnsi="Calibri" w:cs="Calibri"/>
              </w:rPr>
              <w:t>Lab Tests Online (2017). Hashimoto's thyroiditis. Retrieved 27 October 2021, from https://www.labtestsonline.org.au/learning/index-of-conditions/hashimoto</w:t>
            </w:r>
          </w:p>
        </w:tc>
      </w:tr>
      <w:tr w:rsidR="00270FBF" w14:paraId="36B860B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771BBE3" w14:textId="77777777" w:rsidR="00270FBF" w:rsidRPr="00E92C22" w:rsidRDefault="00270FBF" w:rsidP="00270FBF">
            <w:pPr>
              <w:jc w:val="center"/>
              <w:rPr>
                <w:rFonts w:ascii="Calibri" w:hAnsi="Calibri" w:cs="Calibri"/>
              </w:rPr>
            </w:pPr>
            <w:r w:rsidRPr="00E92C22">
              <w:rPr>
                <w:rFonts w:ascii="Calibri" w:hAnsi="Calibri" w:cs="Calibri"/>
              </w:rPr>
              <w:t>80732</w:t>
            </w:r>
          </w:p>
        </w:tc>
        <w:tc>
          <w:tcPr>
            <w:tcW w:w="7371" w:type="dxa"/>
            <w:tcBorders>
              <w:top w:val="single" w:sz="4" w:space="0" w:color="auto"/>
              <w:left w:val="single" w:sz="4" w:space="0" w:color="auto"/>
              <w:bottom w:val="single" w:sz="4" w:space="0" w:color="auto"/>
              <w:right w:val="single" w:sz="4" w:space="0" w:color="auto"/>
            </w:tcBorders>
            <w:hideMark/>
          </w:tcPr>
          <w:p w14:paraId="6141DC96" w14:textId="77777777" w:rsidR="00270FBF" w:rsidRPr="00E92C22" w:rsidRDefault="00270FBF" w:rsidP="00270FBF">
            <w:pPr>
              <w:rPr>
                <w:rFonts w:ascii="Calibri" w:hAnsi="Calibri" w:cs="Calibri"/>
              </w:rPr>
            </w:pPr>
            <w:proofErr w:type="spellStart"/>
            <w:r w:rsidRPr="00E92C22">
              <w:rPr>
                <w:rFonts w:ascii="Calibri" w:hAnsi="Calibri" w:cs="Calibri"/>
              </w:rPr>
              <w:t>Labutina</w:t>
            </w:r>
            <w:proofErr w:type="spellEnd"/>
            <w:r w:rsidRPr="00E92C22">
              <w:rPr>
                <w:rFonts w:ascii="Calibri" w:hAnsi="Calibri" w:cs="Calibri"/>
              </w:rPr>
              <w:t xml:space="preserve"> EV, Kuznetsova IS, Hunter N, et al (2013). Radiation risk of malignant neoplasms in organs of main deposition for plutonium in the cohort of Mayak workers </w:t>
            </w:r>
            <w:proofErr w:type="gramStart"/>
            <w:r w:rsidRPr="00E92C22">
              <w:rPr>
                <w:rFonts w:ascii="Calibri" w:hAnsi="Calibri" w:cs="Calibri"/>
              </w:rPr>
              <w:t>with regard to</w:t>
            </w:r>
            <w:proofErr w:type="gramEnd"/>
            <w:r w:rsidRPr="00E92C22">
              <w:rPr>
                <w:rFonts w:ascii="Calibri" w:hAnsi="Calibri" w:cs="Calibri"/>
              </w:rPr>
              <w:t xml:space="preserve"> histological types. Health Phys, 105(2): 165-76.</w:t>
            </w:r>
          </w:p>
        </w:tc>
      </w:tr>
      <w:tr w:rsidR="00270FBF" w14:paraId="6CDF3CD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A6296AE" w14:textId="77777777" w:rsidR="00270FBF" w:rsidRPr="00E92C22" w:rsidRDefault="00270FBF" w:rsidP="00270FBF">
            <w:pPr>
              <w:jc w:val="center"/>
              <w:rPr>
                <w:rFonts w:ascii="Calibri" w:hAnsi="Calibri" w:cs="Calibri"/>
              </w:rPr>
            </w:pPr>
            <w:r w:rsidRPr="00E92C22">
              <w:rPr>
                <w:rFonts w:ascii="Calibri" w:hAnsi="Calibri" w:cs="Calibri"/>
              </w:rPr>
              <w:t>65349</w:t>
            </w:r>
          </w:p>
        </w:tc>
        <w:tc>
          <w:tcPr>
            <w:tcW w:w="7371" w:type="dxa"/>
            <w:tcBorders>
              <w:top w:val="single" w:sz="4" w:space="0" w:color="auto"/>
              <w:left w:val="single" w:sz="4" w:space="0" w:color="auto"/>
              <w:bottom w:val="single" w:sz="4" w:space="0" w:color="auto"/>
              <w:right w:val="single" w:sz="4" w:space="0" w:color="auto"/>
            </w:tcBorders>
            <w:hideMark/>
          </w:tcPr>
          <w:p w14:paraId="133B8162" w14:textId="77777777" w:rsidR="00270FBF" w:rsidRPr="00E92C22" w:rsidRDefault="00270FBF" w:rsidP="00270FBF">
            <w:pPr>
              <w:rPr>
                <w:rFonts w:ascii="Calibri" w:hAnsi="Calibri" w:cs="Calibri"/>
              </w:rPr>
            </w:pPr>
            <w:r w:rsidRPr="00E92C22">
              <w:rPr>
                <w:rFonts w:ascii="Calibri" w:hAnsi="Calibri" w:cs="Calibri"/>
              </w:rPr>
              <w:t xml:space="preserve">Langer P (2010). The impacts of organochlorines and other persistent pollutants on thyroid and metabolic health. Front </w:t>
            </w:r>
            <w:proofErr w:type="spellStart"/>
            <w:r w:rsidRPr="00E92C22">
              <w:rPr>
                <w:rFonts w:ascii="Calibri" w:hAnsi="Calibri" w:cs="Calibri"/>
              </w:rPr>
              <w:t>Neuroendocrinol</w:t>
            </w:r>
            <w:proofErr w:type="spellEnd"/>
            <w:r w:rsidRPr="00E92C22">
              <w:rPr>
                <w:rFonts w:ascii="Calibri" w:hAnsi="Calibri" w:cs="Calibri"/>
              </w:rPr>
              <w:t>, 31(4): 497-518.</w:t>
            </w:r>
          </w:p>
        </w:tc>
      </w:tr>
      <w:tr w:rsidR="00270FBF" w14:paraId="1346832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B2E7680" w14:textId="77777777" w:rsidR="00270FBF" w:rsidRPr="00E92C22" w:rsidRDefault="00270FBF" w:rsidP="00270FBF">
            <w:pPr>
              <w:jc w:val="center"/>
              <w:rPr>
                <w:rFonts w:ascii="Calibri" w:hAnsi="Calibri" w:cs="Calibri"/>
              </w:rPr>
            </w:pPr>
            <w:r w:rsidRPr="00E92C22">
              <w:rPr>
                <w:rFonts w:ascii="Calibri" w:hAnsi="Calibri" w:cs="Calibri"/>
              </w:rPr>
              <w:t>67010</w:t>
            </w:r>
          </w:p>
        </w:tc>
        <w:tc>
          <w:tcPr>
            <w:tcW w:w="7371" w:type="dxa"/>
            <w:tcBorders>
              <w:top w:val="single" w:sz="4" w:space="0" w:color="auto"/>
              <w:left w:val="single" w:sz="4" w:space="0" w:color="auto"/>
              <w:bottom w:val="single" w:sz="4" w:space="0" w:color="auto"/>
              <w:right w:val="single" w:sz="4" w:space="0" w:color="auto"/>
            </w:tcBorders>
            <w:hideMark/>
          </w:tcPr>
          <w:p w14:paraId="5084D75A" w14:textId="77777777" w:rsidR="00270FBF" w:rsidRPr="00E92C22" w:rsidRDefault="00270FBF" w:rsidP="00270FBF">
            <w:pPr>
              <w:rPr>
                <w:rFonts w:ascii="Calibri" w:hAnsi="Calibri" w:cs="Calibri"/>
              </w:rPr>
            </w:pPr>
            <w:r w:rsidRPr="00E92C22">
              <w:rPr>
                <w:rFonts w:ascii="Calibri" w:hAnsi="Calibri" w:cs="Calibri"/>
              </w:rPr>
              <w:t xml:space="preserve">Langer P, Kocan A, </w:t>
            </w:r>
            <w:proofErr w:type="spellStart"/>
            <w:r w:rsidRPr="00E92C22">
              <w:rPr>
                <w:rFonts w:ascii="Calibri" w:hAnsi="Calibri" w:cs="Calibri"/>
              </w:rPr>
              <w:t>Tajtakova</w:t>
            </w:r>
            <w:proofErr w:type="spellEnd"/>
            <w:r w:rsidRPr="00E92C22">
              <w:rPr>
                <w:rFonts w:ascii="Calibri" w:hAnsi="Calibri" w:cs="Calibri"/>
              </w:rPr>
              <w:t xml:space="preserve"> M, et al (2009). Multiple adverse thyroid and metabolic health signs in the population from the area heavily polluted by organochlorine cocktail (PCB, DDE, HCB, dioxin). Thyroid Res, 2(1): 3.</w:t>
            </w:r>
          </w:p>
        </w:tc>
      </w:tr>
      <w:tr w:rsidR="00270FBF" w14:paraId="46391AE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321E80E" w14:textId="77777777" w:rsidR="00270FBF" w:rsidRPr="00E92C22" w:rsidRDefault="00270FBF" w:rsidP="00270FBF">
            <w:pPr>
              <w:jc w:val="center"/>
              <w:rPr>
                <w:rFonts w:ascii="Calibri" w:hAnsi="Calibri" w:cs="Calibri"/>
              </w:rPr>
            </w:pPr>
            <w:r w:rsidRPr="00E92C22">
              <w:rPr>
                <w:rFonts w:ascii="Calibri" w:hAnsi="Calibri" w:cs="Calibri"/>
              </w:rPr>
              <w:t>67011</w:t>
            </w:r>
          </w:p>
        </w:tc>
        <w:tc>
          <w:tcPr>
            <w:tcW w:w="7371" w:type="dxa"/>
            <w:tcBorders>
              <w:top w:val="single" w:sz="4" w:space="0" w:color="auto"/>
              <w:left w:val="single" w:sz="4" w:space="0" w:color="auto"/>
              <w:bottom w:val="single" w:sz="4" w:space="0" w:color="auto"/>
              <w:right w:val="single" w:sz="4" w:space="0" w:color="auto"/>
            </w:tcBorders>
            <w:hideMark/>
          </w:tcPr>
          <w:p w14:paraId="16D00AC0" w14:textId="77777777" w:rsidR="00270FBF" w:rsidRPr="00E92C22" w:rsidRDefault="00270FBF" w:rsidP="00270FBF">
            <w:pPr>
              <w:rPr>
                <w:rFonts w:ascii="Calibri" w:hAnsi="Calibri" w:cs="Calibri"/>
              </w:rPr>
            </w:pPr>
            <w:r w:rsidRPr="00E92C22">
              <w:rPr>
                <w:rFonts w:ascii="Calibri" w:hAnsi="Calibri" w:cs="Calibri"/>
              </w:rPr>
              <w:t xml:space="preserve">Langer P, </w:t>
            </w:r>
            <w:proofErr w:type="spellStart"/>
            <w:r w:rsidRPr="00E92C22">
              <w:rPr>
                <w:rFonts w:ascii="Calibri" w:hAnsi="Calibri" w:cs="Calibri"/>
              </w:rPr>
              <w:t>Tajtakova</w:t>
            </w:r>
            <w:proofErr w:type="spellEnd"/>
            <w:r w:rsidRPr="00E92C22">
              <w:rPr>
                <w:rFonts w:ascii="Calibri" w:hAnsi="Calibri" w:cs="Calibri"/>
              </w:rPr>
              <w:t xml:space="preserve"> M, Fodor G, et al (1998). Increased thyroid volume and prevalence of thyroid disorders in an area heavily polluted by polychlorinated biphenyls. </w:t>
            </w:r>
            <w:proofErr w:type="spellStart"/>
            <w:r w:rsidRPr="00E92C22">
              <w:rPr>
                <w:rFonts w:ascii="Calibri" w:hAnsi="Calibri" w:cs="Calibri"/>
              </w:rPr>
              <w:t>Eur</w:t>
            </w:r>
            <w:proofErr w:type="spellEnd"/>
            <w:r w:rsidRPr="00E92C22">
              <w:rPr>
                <w:rFonts w:ascii="Calibri" w:hAnsi="Calibri" w:cs="Calibri"/>
              </w:rPr>
              <w:t xml:space="preserve"> J Endocrinol, 139(4): 402-9.</w:t>
            </w:r>
          </w:p>
        </w:tc>
      </w:tr>
      <w:tr w:rsidR="00270FBF" w14:paraId="6E2CD2E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7CAD243" w14:textId="77777777" w:rsidR="00270FBF" w:rsidRPr="00E92C22" w:rsidRDefault="00270FBF" w:rsidP="00270FBF">
            <w:pPr>
              <w:jc w:val="center"/>
              <w:rPr>
                <w:rFonts w:ascii="Calibri" w:hAnsi="Calibri" w:cs="Calibri"/>
              </w:rPr>
            </w:pPr>
            <w:r w:rsidRPr="00E92C22">
              <w:rPr>
                <w:rFonts w:ascii="Calibri" w:hAnsi="Calibri" w:cs="Calibri"/>
              </w:rPr>
              <w:t>64845</w:t>
            </w:r>
          </w:p>
        </w:tc>
        <w:tc>
          <w:tcPr>
            <w:tcW w:w="7371" w:type="dxa"/>
            <w:tcBorders>
              <w:top w:val="single" w:sz="4" w:space="0" w:color="auto"/>
              <w:left w:val="single" w:sz="4" w:space="0" w:color="auto"/>
              <w:bottom w:val="single" w:sz="4" w:space="0" w:color="auto"/>
              <w:right w:val="single" w:sz="4" w:space="0" w:color="auto"/>
            </w:tcBorders>
            <w:hideMark/>
          </w:tcPr>
          <w:p w14:paraId="5AF117D9" w14:textId="77777777" w:rsidR="00270FBF" w:rsidRPr="00E92C22" w:rsidRDefault="00270FBF" w:rsidP="00270FBF">
            <w:pPr>
              <w:rPr>
                <w:rFonts w:ascii="Calibri" w:hAnsi="Calibri" w:cs="Calibri"/>
              </w:rPr>
            </w:pPr>
            <w:r w:rsidRPr="00E92C22">
              <w:rPr>
                <w:rFonts w:ascii="Calibri" w:hAnsi="Calibri" w:cs="Calibri"/>
              </w:rPr>
              <w:t xml:space="preserve">Laurberg P, Bulow Pedersen I, Knudsen N, et al (2001). Environmental iodine intake affects the type of </w:t>
            </w:r>
            <w:proofErr w:type="spellStart"/>
            <w:r w:rsidRPr="00E92C22">
              <w:rPr>
                <w:rFonts w:ascii="Calibri" w:hAnsi="Calibri" w:cs="Calibri"/>
              </w:rPr>
              <w:t>nonmalignant</w:t>
            </w:r>
            <w:proofErr w:type="spellEnd"/>
            <w:r w:rsidRPr="00E92C22">
              <w:rPr>
                <w:rFonts w:ascii="Calibri" w:hAnsi="Calibri" w:cs="Calibri"/>
              </w:rPr>
              <w:t xml:space="preserve"> thyroid disease. Thyroid, 11(5): 457-69.</w:t>
            </w:r>
          </w:p>
        </w:tc>
      </w:tr>
      <w:tr w:rsidR="00270FBF" w14:paraId="5E57B029"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8A48193" w14:textId="77777777" w:rsidR="00270FBF" w:rsidRPr="00E92C22" w:rsidRDefault="00270FBF" w:rsidP="00270FBF">
            <w:pPr>
              <w:jc w:val="center"/>
              <w:rPr>
                <w:rFonts w:ascii="Calibri" w:hAnsi="Calibri" w:cs="Calibri"/>
              </w:rPr>
            </w:pPr>
            <w:r w:rsidRPr="00E92C22">
              <w:rPr>
                <w:rFonts w:ascii="Calibri" w:hAnsi="Calibri" w:cs="Calibri"/>
              </w:rPr>
              <w:t>65366</w:t>
            </w:r>
          </w:p>
        </w:tc>
        <w:tc>
          <w:tcPr>
            <w:tcW w:w="7371" w:type="dxa"/>
            <w:tcBorders>
              <w:top w:val="single" w:sz="4" w:space="0" w:color="auto"/>
              <w:left w:val="single" w:sz="4" w:space="0" w:color="auto"/>
              <w:bottom w:val="single" w:sz="4" w:space="0" w:color="auto"/>
              <w:right w:val="single" w:sz="4" w:space="0" w:color="auto"/>
            </w:tcBorders>
            <w:hideMark/>
          </w:tcPr>
          <w:p w14:paraId="6A0BB626" w14:textId="77777777" w:rsidR="00270FBF" w:rsidRPr="00E92C22" w:rsidRDefault="00270FBF" w:rsidP="00270FBF">
            <w:pPr>
              <w:rPr>
                <w:rFonts w:ascii="Calibri" w:hAnsi="Calibri" w:cs="Calibri"/>
              </w:rPr>
            </w:pPr>
            <w:r w:rsidRPr="00E92C22">
              <w:rPr>
                <w:rFonts w:ascii="Calibri" w:hAnsi="Calibri" w:cs="Calibri"/>
              </w:rPr>
              <w:t xml:space="preserve">Laurberg P, Cerqueira C, Ovesen L, et al (2010). Iodine intake as a determinant of thyroid disorders in populations. Best </w:t>
            </w:r>
            <w:proofErr w:type="spellStart"/>
            <w:r w:rsidRPr="00E92C22">
              <w:rPr>
                <w:rFonts w:ascii="Calibri" w:hAnsi="Calibri" w:cs="Calibri"/>
              </w:rPr>
              <w:t>Pract</w:t>
            </w:r>
            <w:proofErr w:type="spellEnd"/>
            <w:r w:rsidRPr="00E92C22">
              <w:rPr>
                <w:rFonts w:ascii="Calibri" w:hAnsi="Calibri" w:cs="Calibri"/>
              </w:rPr>
              <w:t xml:space="preserve"> Res Clin Endocrinol </w:t>
            </w:r>
            <w:proofErr w:type="spellStart"/>
            <w:r w:rsidRPr="00E92C22">
              <w:rPr>
                <w:rFonts w:ascii="Calibri" w:hAnsi="Calibri" w:cs="Calibri"/>
              </w:rPr>
              <w:t>Metab</w:t>
            </w:r>
            <w:proofErr w:type="spellEnd"/>
            <w:r w:rsidRPr="00E92C22">
              <w:rPr>
                <w:rFonts w:ascii="Calibri" w:hAnsi="Calibri" w:cs="Calibri"/>
              </w:rPr>
              <w:t>, 24(1): 13-27.</w:t>
            </w:r>
          </w:p>
        </w:tc>
      </w:tr>
      <w:tr w:rsidR="00270FBF" w14:paraId="585AB57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50E055C" w14:textId="77777777" w:rsidR="00270FBF" w:rsidRPr="00E92C22" w:rsidRDefault="00270FBF" w:rsidP="00270FBF">
            <w:pPr>
              <w:jc w:val="center"/>
              <w:rPr>
                <w:rFonts w:ascii="Calibri" w:hAnsi="Calibri" w:cs="Calibri"/>
              </w:rPr>
            </w:pPr>
            <w:r w:rsidRPr="00E92C22">
              <w:rPr>
                <w:rFonts w:ascii="Calibri" w:hAnsi="Calibri" w:cs="Calibri"/>
              </w:rPr>
              <w:lastRenderedPageBreak/>
              <w:t>103040</w:t>
            </w:r>
          </w:p>
        </w:tc>
        <w:tc>
          <w:tcPr>
            <w:tcW w:w="7371" w:type="dxa"/>
            <w:tcBorders>
              <w:top w:val="single" w:sz="4" w:space="0" w:color="auto"/>
              <w:left w:val="single" w:sz="4" w:space="0" w:color="auto"/>
              <w:bottom w:val="single" w:sz="4" w:space="0" w:color="auto"/>
              <w:right w:val="single" w:sz="4" w:space="0" w:color="auto"/>
            </w:tcBorders>
            <w:hideMark/>
          </w:tcPr>
          <w:p w14:paraId="65F08CE9" w14:textId="77777777" w:rsidR="00270FBF" w:rsidRPr="00E92C22" w:rsidRDefault="00270FBF" w:rsidP="00270FBF">
            <w:pPr>
              <w:rPr>
                <w:rFonts w:ascii="Calibri" w:hAnsi="Calibri" w:cs="Calibri"/>
              </w:rPr>
            </w:pPr>
            <w:r w:rsidRPr="00E92C22">
              <w:rPr>
                <w:rFonts w:ascii="Calibri" w:hAnsi="Calibri" w:cs="Calibri"/>
              </w:rPr>
              <w:t xml:space="preserve">Lazarevic N, Smurthwaite K, </w:t>
            </w:r>
            <w:proofErr w:type="spellStart"/>
            <w:r w:rsidRPr="00E92C22">
              <w:rPr>
                <w:rFonts w:ascii="Calibri" w:hAnsi="Calibri" w:cs="Calibri"/>
              </w:rPr>
              <w:t>Trevenar</w:t>
            </w:r>
            <w:proofErr w:type="spellEnd"/>
            <w:r w:rsidRPr="00E92C22">
              <w:rPr>
                <w:rFonts w:ascii="Calibri" w:hAnsi="Calibri" w:cs="Calibri"/>
              </w:rPr>
              <w:t xml:space="preserve"> S, et al (2021). PFAS Health Study Component Three: Cross-Sectional Survey of Self-Reported Physical and Mental Health Outcomes and Associations with Blood Serum PFAS. Canberra (AU): The Australian National University.</w:t>
            </w:r>
          </w:p>
        </w:tc>
      </w:tr>
      <w:tr w:rsidR="00270FBF" w14:paraId="0EFEF6C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AF06282" w14:textId="77777777" w:rsidR="00270FBF" w:rsidRPr="00E92C22" w:rsidRDefault="00270FBF" w:rsidP="00270FBF">
            <w:pPr>
              <w:jc w:val="center"/>
              <w:rPr>
                <w:rFonts w:ascii="Calibri" w:hAnsi="Calibri" w:cs="Calibri"/>
              </w:rPr>
            </w:pPr>
            <w:r w:rsidRPr="00E92C22">
              <w:rPr>
                <w:rFonts w:ascii="Calibri" w:hAnsi="Calibri" w:cs="Calibri"/>
              </w:rPr>
              <w:t>64831</w:t>
            </w:r>
          </w:p>
        </w:tc>
        <w:tc>
          <w:tcPr>
            <w:tcW w:w="7371" w:type="dxa"/>
            <w:tcBorders>
              <w:top w:val="single" w:sz="4" w:space="0" w:color="auto"/>
              <w:left w:val="single" w:sz="4" w:space="0" w:color="auto"/>
              <w:bottom w:val="single" w:sz="4" w:space="0" w:color="auto"/>
              <w:right w:val="single" w:sz="4" w:space="0" w:color="auto"/>
            </w:tcBorders>
            <w:hideMark/>
          </w:tcPr>
          <w:p w14:paraId="62FFEB9E" w14:textId="77777777" w:rsidR="00270FBF" w:rsidRPr="00E92C22" w:rsidRDefault="00270FBF" w:rsidP="00270FBF">
            <w:pPr>
              <w:rPr>
                <w:rFonts w:ascii="Calibri" w:hAnsi="Calibri" w:cs="Calibri"/>
              </w:rPr>
            </w:pPr>
            <w:r w:rsidRPr="00E92C22">
              <w:rPr>
                <w:rFonts w:ascii="Calibri" w:hAnsi="Calibri" w:cs="Calibri"/>
              </w:rPr>
              <w:t xml:space="preserve">Lazarus JH (2009). Lithium and thyroid. Best </w:t>
            </w:r>
            <w:proofErr w:type="spellStart"/>
            <w:r w:rsidRPr="00E92C22">
              <w:rPr>
                <w:rFonts w:ascii="Calibri" w:hAnsi="Calibri" w:cs="Calibri"/>
              </w:rPr>
              <w:t>Pract</w:t>
            </w:r>
            <w:proofErr w:type="spellEnd"/>
            <w:r w:rsidRPr="00E92C22">
              <w:rPr>
                <w:rFonts w:ascii="Calibri" w:hAnsi="Calibri" w:cs="Calibri"/>
              </w:rPr>
              <w:t xml:space="preserve"> Res Clin Endocrinol </w:t>
            </w:r>
            <w:proofErr w:type="spellStart"/>
            <w:r w:rsidRPr="00E92C22">
              <w:rPr>
                <w:rFonts w:ascii="Calibri" w:hAnsi="Calibri" w:cs="Calibri"/>
              </w:rPr>
              <w:t>Metab</w:t>
            </w:r>
            <w:proofErr w:type="spellEnd"/>
            <w:r w:rsidRPr="00E92C22">
              <w:rPr>
                <w:rFonts w:ascii="Calibri" w:hAnsi="Calibri" w:cs="Calibri"/>
              </w:rPr>
              <w:t>, 23(6): 723-33.</w:t>
            </w:r>
          </w:p>
        </w:tc>
      </w:tr>
      <w:tr w:rsidR="00270FBF" w14:paraId="3E2F9F9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64EC740" w14:textId="77777777" w:rsidR="00270FBF" w:rsidRPr="00E92C22" w:rsidRDefault="00270FBF" w:rsidP="00270FBF">
            <w:pPr>
              <w:jc w:val="center"/>
              <w:rPr>
                <w:rFonts w:ascii="Calibri" w:hAnsi="Calibri" w:cs="Calibri"/>
              </w:rPr>
            </w:pPr>
            <w:r w:rsidRPr="00E92C22">
              <w:rPr>
                <w:rFonts w:ascii="Calibri" w:hAnsi="Calibri" w:cs="Calibri"/>
              </w:rPr>
              <w:t>66166</w:t>
            </w:r>
          </w:p>
        </w:tc>
        <w:tc>
          <w:tcPr>
            <w:tcW w:w="7371" w:type="dxa"/>
            <w:tcBorders>
              <w:top w:val="single" w:sz="4" w:space="0" w:color="auto"/>
              <w:left w:val="single" w:sz="4" w:space="0" w:color="auto"/>
              <w:bottom w:val="single" w:sz="4" w:space="0" w:color="auto"/>
              <w:right w:val="single" w:sz="4" w:space="0" w:color="auto"/>
            </w:tcBorders>
            <w:hideMark/>
          </w:tcPr>
          <w:p w14:paraId="773EC59A" w14:textId="77777777" w:rsidR="00270FBF" w:rsidRPr="00E92C22" w:rsidRDefault="00270FBF" w:rsidP="00270FBF">
            <w:pPr>
              <w:rPr>
                <w:rFonts w:ascii="Calibri" w:hAnsi="Calibri" w:cs="Calibri"/>
              </w:rPr>
            </w:pPr>
            <w:proofErr w:type="spellStart"/>
            <w:r w:rsidRPr="00E92C22">
              <w:rPr>
                <w:rFonts w:ascii="Calibri" w:hAnsi="Calibri" w:cs="Calibri"/>
              </w:rPr>
              <w:t>Lazurova</w:t>
            </w:r>
            <w:proofErr w:type="spellEnd"/>
            <w:r w:rsidRPr="00E92C22">
              <w:rPr>
                <w:rFonts w:ascii="Calibri" w:hAnsi="Calibri" w:cs="Calibri"/>
              </w:rPr>
              <w:t xml:space="preserve"> I, </w:t>
            </w:r>
            <w:proofErr w:type="spellStart"/>
            <w:r w:rsidRPr="00E92C22">
              <w:rPr>
                <w:rFonts w:ascii="Calibri" w:hAnsi="Calibri" w:cs="Calibri"/>
              </w:rPr>
              <w:t>Benhatchi</w:t>
            </w:r>
            <w:proofErr w:type="spellEnd"/>
            <w:r w:rsidRPr="00E92C22">
              <w:rPr>
                <w:rFonts w:ascii="Calibri" w:hAnsi="Calibri" w:cs="Calibri"/>
              </w:rPr>
              <w:t xml:space="preserve"> K, </w:t>
            </w:r>
            <w:proofErr w:type="spellStart"/>
            <w:r w:rsidRPr="00E92C22">
              <w:rPr>
                <w:rFonts w:ascii="Calibri" w:hAnsi="Calibri" w:cs="Calibri"/>
              </w:rPr>
              <w:t>Rovensky</w:t>
            </w:r>
            <w:proofErr w:type="spellEnd"/>
            <w:r w:rsidRPr="00E92C22">
              <w:rPr>
                <w:rFonts w:ascii="Calibri" w:hAnsi="Calibri" w:cs="Calibri"/>
              </w:rPr>
              <w:t xml:space="preserve"> J, et al (2009). Autoimmune thyroid disease and autoimmune rheumatic disorders: a two-sided analysis. Ann N Y </w:t>
            </w:r>
            <w:proofErr w:type="spellStart"/>
            <w:r w:rsidRPr="00E92C22">
              <w:rPr>
                <w:rFonts w:ascii="Calibri" w:hAnsi="Calibri" w:cs="Calibri"/>
              </w:rPr>
              <w:t>Acad</w:t>
            </w:r>
            <w:proofErr w:type="spellEnd"/>
            <w:r w:rsidRPr="00E92C22">
              <w:rPr>
                <w:rFonts w:ascii="Calibri" w:hAnsi="Calibri" w:cs="Calibri"/>
              </w:rPr>
              <w:t xml:space="preserve"> Sci, 1173: 211-6.</w:t>
            </w:r>
          </w:p>
        </w:tc>
      </w:tr>
      <w:tr w:rsidR="00270FBF" w14:paraId="26AA603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40ABE1F" w14:textId="77777777" w:rsidR="00270FBF" w:rsidRPr="00E92C22" w:rsidRDefault="00270FBF" w:rsidP="00270FBF">
            <w:pPr>
              <w:jc w:val="center"/>
              <w:rPr>
                <w:rFonts w:ascii="Calibri" w:hAnsi="Calibri" w:cs="Calibri"/>
              </w:rPr>
            </w:pPr>
            <w:r w:rsidRPr="00E92C22">
              <w:rPr>
                <w:rFonts w:ascii="Calibri" w:hAnsi="Calibri" w:cs="Calibri"/>
              </w:rPr>
              <w:t>81154</w:t>
            </w:r>
          </w:p>
        </w:tc>
        <w:tc>
          <w:tcPr>
            <w:tcW w:w="7371" w:type="dxa"/>
            <w:tcBorders>
              <w:top w:val="single" w:sz="4" w:space="0" w:color="auto"/>
              <w:left w:val="single" w:sz="4" w:space="0" w:color="auto"/>
              <w:bottom w:val="single" w:sz="4" w:space="0" w:color="auto"/>
              <w:right w:val="single" w:sz="4" w:space="0" w:color="auto"/>
            </w:tcBorders>
            <w:hideMark/>
          </w:tcPr>
          <w:p w14:paraId="6B2C89AB" w14:textId="77777777" w:rsidR="00270FBF" w:rsidRPr="00E92C22" w:rsidRDefault="00270FBF" w:rsidP="00270FBF">
            <w:pPr>
              <w:rPr>
                <w:rFonts w:ascii="Calibri" w:hAnsi="Calibri" w:cs="Calibri"/>
              </w:rPr>
            </w:pPr>
            <w:r w:rsidRPr="006E1170">
              <w:rPr>
                <w:rFonts w:ascii="Calibri" w:hAnsi="Calibri" w:cs="Calibri"/>
                <w:lang w:val="de-DE"/>
              </w:rPr>
              <w:t xml:space="preserve">Lee C, Kim KP, Bolch WE, et al (2015). </w:t>
            </w:r>
            <w:r w:rsidRPr="00E92C22">
              <w:rPr>
                <w:rFonts w:ascii="Calibri" w:hAnsi="Calibri" w:cs="Calibri"/>
              </w:rPr>
              <w:t xml:space="preserve">NCICT: a computational solution to estimate organ doses for </w:t>
            </w:r>
            <w:proofErr w:type="spellStart"/>
            <w:r w:rsidRPr="00E92C22">
              <w:rPr>
                <w:rFonts w:ascii="Calibri" w:hAnsi="Calibri" w:cs="Calibri"/>
              </w:rPr>
              <w:t>pediatric</w:t>
            </w:r>
            <w:proofErr w:type="spellEnd"/>
            <w:r w:rsidRPr="00E92C22">
              <w:rPr>
                <w:rFonts w:ascii="Calibri" w:hAnsi="Calibri" w:cs="Calibri"/>
              </w:rPr>
              <w:t xml:space="preserve"> and adult patients undergoing CT scans. J </w:t>
            </w:r>
            <w:proofErr w:type="spellStart"/>
            <w:r w:rsidRPr="00E92C22">
              <w:rPr>
                <w:rFonts w:ascii="Calibri" w:hAnsi="Calibri" w:cs="Calibri"/>
              </w:rPr>
              <w:t>Radiol</w:t>
            </w:r>
            <w:proofErr w:type="spellEnd"/>
            <w:r w:rsidRPr="00E92C22">
              <w:rPr>
                <w:rFonts w:ascii="Calibri" w:hAnsi="Calibri" w:cs="Calibri"/>
              </w:rPr>
              <w:t xml:space="preserve"> Prot, 35(4): 891-909.</w:t>
            </w:r>
          </w:p>
        </w:tc>
      </w:tr>
      <w:tr w:rsidR="00270FBF" w14:paraId="2C142A7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13A7BB1" w14:textId="77777777" w:rsidR="00270FBF" w:rsidRPr="00E92C22" w:rsidRDefault="00270FBF" w:rsidP="00270FBF">
            <w:pPr>
              <w:jc w:val="center"/>
              <w:rPr>
                <w:rFonts w:ascii="Calibri" w:hAnsi="Calibri" w:cs="Calibri"/>
              </w:rPr>
            </w:pPr>
            <w:r w:rsidRPr="00E92C22">
              <w:rPr>
                <w:rFonts w:ascii="Calibri" w:hAnsi="Calibri" w:cs="Calibri"/>
              </w:rPr>
              <w:t>99949</w:t>
            </w:r>
          </w:p>
        </w:tc>
        <w:tc>
          <w:tcPr>
            <w:tcW w:w="7371" w:type="dxa"/>
            <w:tcBorders>
              <w:top w:val="single" w:sz="4" w:space="0" w:color="auto"/>
              <w:left w:val="single" w:sz="4" w:space="0" w:color="auto"/>
              <w:bottom w:val="single" w:sz="4" w:space="0" w:color="auto"/>
              <w:right w:val="single" w:sz="4" w:space="0" w:color="auto"/>
            </w:tcBorders>
            <w:hideMark/>
          </w:tcPr>
          <w:p w14:paraId="6BA82158" w14:textId="77777777" w:rsidR="00270FBF" w:rsidRPr="00E92C22" w:rsidRDefault="00270FBF" w:rsidP="00270FBF">
            <w:pPr>
              <w:rPr>
                <w:rFonts w:ascii="Calibri" w:hAnsi="Calibri" w:cs="Calibri"/>
              </w:rPr>
            </w:pPr>
            <w:r w:rsidRPr="00E92C22">
              <w:rPr>
                <w:rFonts w:ascii="Calibri" w:hAnsi="Calibri" w:cs="Calibri"/>
              </w:rPr>
              <w:t xml:space="preserve">Lee JE, Choi K (2017). Perfluoroalkyl substances exposure and thyroid hormones in humans: epidemiological observations and implications. Ann </w:t>
            </w:r>
            <w:proofErr w:type="spellStart"/>
            <w:r w:rsidRPr="00E92C22">
              <w:rPr>
                <w:rFonts w:ascii="Calibri" w:hAnsi="Calibri" w:cs="Calibri"/>
              </w:rPr>
              <w:t>Pediatr</w:t>
            </w:r>
            <w:proofErr w:type="spellEnd"/>
            <w:r w:rsidRPr="00E92C22">
              <w:rPr>
                <w:rFonts w:ascii="Calibri" w:hAnsi="Calibri" w:cs="Calibri"/>
              </w:rPr>
              <w:t xml:space="preserve"> Endocrinol </w:t>
            </w:r>
            <w:proofErr w:type="spellStart"/>
            <w:r w:rsidRPr="00E92C22">
              <w:rPr>
                <w:rFonts w:ascii="Calibri" w:hAnsi="Calibri" w:cs="Calibri"/>
              </w:rPr>
              <w:t>Metab</w:t>
            </w:r>
            <w:proofErr w:type="spellEnd"/>
            <w:r w:rsidRPr="00E92C22">
              <w:rPr>
                <w:rFonts w:ascii="Calibri" w:hAnsi="Calibri" w:cs="Calibri"/>
              </w:rPr>
              <w:t>, 22(1): 6-14.</w:t>
            </w:r>
          </w:p>
        </w:tc>
      </w:tr>
      <w:tr w:rsidR="00270FBF" w14:paraId="38ABA00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CAE4764" w14:textId="77777777" w:rsidR="00270FBF" w:rsidRPr="00E92C22" w:rsidRDefault="00270FBF" w:rsidP="00270FBF">
            <w:pPr>
              <w:jc w:val="center"/>
              <w:rPr>
                <w:rFonts w:ascii="Calibri" w:hAnsi="Calibri" w:cs="Calibri"/>
              </w:rPr>
            </w:pPr>
            <w:r w:rsidRPr="00E92C22">
              <w:rPr>
                <w:rFonts w:ascii="Calibri" w:hAnsi="Calibri" w:cs="Calibri"/>
              </w:rPr>
              <w:t>102804</w:t>
            </w:r>
          </w:p>
        </w:tc>
        <w:tc>
          <w:tcPr>
            <w:tcW w:w="7371" w:type="dxa"/>
            <w:tcBorders>
              <w:top w:val="single" w:sz="4" w:space="0" w:color="auto"/>
              <w:left w:val="single" w:sz="4" w:space="0" w:color="auto"/>
              <w:bottom w:val="single" w:sz="4" w:space="0" w:color="auto"/>
              <w:right w:val="single" w:sz="4" w:space="0" w:color="auto"/>
            </w:tcBorders>
            <w:hideMark/>
          </w:tcPr>
          <w:p w14:paraId="64F57C3A" w14:textId="77777777" w:rsidR="00270FBF" w:rsidRPr="00E92C22" w:rsidRDefault="00270FBF" w:rsidP="00270FBF">
            <w:pPr>
              <w:rPr>
                <w:rFonts w:ascii="Calibri" w:hAnsi="Calibri" w:cs="Calibri"/>
              </w:rPr>
            </w:pPr>
            <w:r w:rsidRPr="00E92C22">
              <w:rPr>
                <w:rFonts w:ascii="Calibri" w:hAnsi="Calibri" w:cs="Calibri"/>
              </w:rPr>
              <w:t>Lee SL (2020). Hashimoto thyroiditis. Retrieved 22 October 2021, from https://emedicine.medscape.com/article/120937-overview</w:t>
            </w:r>
          </w:p>
        </w:tc>
      </w:tr>
      <w:tr w:rsidR="00270FBF" w14:paraId="5FD66EE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B27EA8A" w14:textId="77777777" w:rsidR="00270FBF" w:rsidRPr="00E92C22" w:rsidRDefault="00270FBF" w:rsidP="00270FBF">
            <w:pPr>
              <w:jc w:val="center"/>
              <w:rPr>
                <w:rFonts w:ascii="Calibri" w:hAnsi="Calibri" w:cs="Calibri"/>
              </w:rPr>
            </w:pPr>
            <w:r w:rsidRPr="00E92C22">
              <w:rPr>
                <w:rFonts w:ascii="Calibri" w:hAnsi="Calibri" w:cs="Calibri"/>
              </w:rPr>
              <w:t>99152</w:t>
            </w:r>
          </w:p>
        </w:tc>
        <w:tc>
          <w:tcPr>
            <w:tcW w:w="7371" w:type="dxa"/>
            <w:tcBorders>
              <w:top w:val="single" w:sz="4" w:space="0" w:color="auto"/>
              <w:left w:val="single" w:sz="4" w:space="0" w:color="auto"/>
              <w:bottom w:val="single" w:sz="4" w:space="0" w:color="auto"/>
              <w:right w:val="single" w:sz="4" w:space="0" w:color="auto"/>
            </w:tcBorders>
            <w:hideMark/>
          </w:tcPr>
          <w:p w14:paraId="355D857A" w14:textId="77777777" w:rsidR="00270FBF" w:rsidRPr="00E92C22" w:rsidRDefault="00270FBF" w:rsidP="00270FBF">
            <w:pPr>
              <w:rPr>
                <w:rFonts w:ascii="Calibri" w:hAnsi="Calibri" w:cs="Calibri"/>
              </w:rPr>
            </w:pPr>
            <w:r w:rsidRPr="006E1170">
              <w:rPr>
                <w:rFonts w:ascii="Calibri" w:hAnsi="Calibri" w:cs="Calibri"/>
                <w:lang w:val="de-DE"/>
              </w:rPr>
              <w:t xml:space="preserve">Lee SY, Rhee CM, Leung AM, et al (2015). </w:t>
            </w:r>
            <w:r w:rsidRPr="00E92C22">
              <w:rPr>
                <w:rFonts w:ascii="Calibri" w:hAnsi="Calibri" w:cs="Calibri"/>
              </w:rPr>
              <w:t xml:space="preserve">A review: Radiographic iodinated contrast media-induced thyroid dysfunction. J Clin Endocrinol </w:t>
            </w:r>
            <w:proofErr w:type="spellStart"/>
            <w:r w:rsidRPr="00E92C22">
              <w:rPr>
                <w:rFonts w:ascii="Calibri" w:hAnsi="Calibri" w:cs="Calibri"/>
              </w:rPr>
              <w:t>Metab</w:t>
            </w:r>
            <w:proofErr w:type="spellEnd"/>
            <w:r w:rsidRPr="00E92C22">
              <w:rPr>
                <w:rFonts w:ascii="Calibri" w:hAnsi="Calibri" w:cs="Calibri"/>
              </w:rPr>
              <w:t>, 100(2): 376-83.</w:t>
            </w:r>
          </w:p>
        </w:tc>
      </w:tr>
      <w:tr w:rsidR="00270FBF" w14:paraId="5A22A7D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068E4F0" w14:textId="77777777" w:rsidR="00270FBF" w:rsidRPr="00E92C22" w:rsidRDefault="00270FBF" w:rsidP="00270FBF">
            <w:pPr>
              <w:jc w:val="center"/>
              <w:rPr>
                <w:rFonts w:ascii="Calibri" w:hAnsi="Calibri" w:cs="Calibri"/>
              </w:rPr>
            </w:pPr>
            <w:r w:rsidRPr="00E92C22">
              <w:rPr>
                <w:rFonts w:ascii="Calibri" w:hAnsi="Calibri" w:cs="Calibri"/>
              </w:rPr>
              <w:t>65696</w:t>
            </w:r>
          </w:p>
        </w:tc>
        <w:tc>
          <w:tcPr>
            <w:tcW w:w="7371" w:type="dxa"/>
            <w:tcBorders>
              <w:top w:val="single" w:sz="4" w:space="0" w:color="auto"/>
              <w:left w:val="single" w:sz="4" w:space="0" w:color="auto"/>
              <w:bottom w:val="single" w:sz="4" w:space="0" w:color="auto"/>
              <w:right w:val="single" w:sz="4" w:space="0" w:color="auto"/>
            </w:tcBorders>
            <w:hideMark/>
          </w:tcPr>
          <w:p w14:paraId="1323A94D" w14:textId="77777777" w:rsidR="00270FBF" w:rsidRPr="00E92C22" w:rsidRDefault="00270FBF" w:rsidP="00270FBF">
            <w:pPr>
              <w:rPr>
                <w:rFonts w:ascii="Calibri" w:hAnsi="Calibri" w:cs="Calibri"/>
              </w:rPr>
            </w:pPr>
            <w:r w:rsidRPr="006E1170">
              <w:rPr>
                <w:rFonts w:ascii="Calibri" w:hAnsi="Calibri" w:cs="Calibri"/>
                <w:lang w:val="de-DE"/>
              </w:rPr>
              <w:t xml:space="preserve">Lehmann HW, Lutterbuse N, Plentz A, et al (2008). </w:t>
            </w:r>
            <w:r w:rsidRPr="00E92C22">
              <w:rPr>
                <w:rFonts w:ascii="Calibri" w:hAnsi="Calibri" w:cs="Calibri"/>
              </w:rPr>
              <w:t>Association of parvovirus B19 infection and Hashimoto's thyroiditis in children. Viral Immunol, 21(3): 379-83.</w:t>
            </w:r>
          </w:p>
        </w:tc>
      </w:tr>
      <w:tr w:rsidR="00270FBF" w14:paraId="5E03CE8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E8DDE22" w14:textId="77777777" w:rsidR="00270FBF" w:rsidRPr="00E92C22" w:rsidRDefault="00270FBF" w:rsidP="00270FBF">
            <w:pPr>
              <w:jc w:val="center"/>
              <w:rPr>
                <w:rFonts w:ascii="Calibri" w:hAnsi="Calibri" w:cs="Calibri"/>
              </w:rPr>
            </w:pPr>
            <w:r w:rsidRPr="00E92C22">
              <w:rPr>
                <w:rFonts w:ascii="Calibri" w:hAnsi="Calibri" w:cs="Calibri"/>
              </w:rPr>
              <w:t>102805</w:t>
            </w:r>
          </w:p>
        </w:tc>
        <w:tc>
          <w:tcPr>
            <w:tcW w:w="7371" w:type="dxa"/>
            <w:tcBorders>
              <w:top w:val="single" w:sz="4" w:space="0" w:color="auto"/>
              <w:left w:val="single" w:sz="4" w:space="0" w:color="auto"/>
              <w:bottom w:val="single" w:sz="4" w:space="0" w:color="auto"/>
              <w:right w:val="single" w:sz="4" w:space="0" w:color="auto"/>
            </w:tcBorders>
            <w:hideMark/>
          </w:tcPr>
          <w:p w14:paraId="238FC84C" w14:textId="77777777" w:rsidR="00270FBF" w:rsidRPr="00E92C22" w:rsidRDefault="00270FBF" w:rsidP="00270FBF">
            <w:pPr>
              <w:rPr>
                <w:rFonts w:ascii="Calibri" w:hAnsi="Calibri" w:cs="Calibri"/>
              </w:rPr>
            </w:pPr>
            <w:r w:rsidRPr="006E1170">
              <w:rPr>
                <w:rFonts w:ascii="Calibri" w:hAnsi="Calibri" w:cs="Calibri"/>
                <w:lang w:val="de-DE"/>
              </w:rPr>
              <w:t xml:space="preserve">Li C, Zhou J, Huang Z, et al (2020). </w:t>
            </w:r>
            <w:r w:rsidRPr="00E92C22">
              <w:rPr>
                <w:rFonts w:ascii="Calibri" w:hAnsi="Calibri" w:cs="Calibri"/>
              </w:rPr>
              <w:t>The clinical value and variation of antithyroid antibodies during pregnancy. Dis Markers, 2020: 8871951.</w:t>
            </w:r>
          </w:p>
        </w:tc>
      </w:tr>
      <w:tr w:rsidR="00270FBF" w14:paraId="4813B0C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316A606" w14:textId="77777777" w:rsidR="00270FBF" w:rsidRPr="00E92C22" w:rsidRDefault="00270FBF" w:rsidP="00270FBF">
            <w:pPr>
              <w:jc w:val="center"/>
              <w:rPr>
                <w:rFonts w:ascii="Calibri" w:hAnsi="Calibri" w:cs="Calibri"/>
              </w:rPr>
            </w:pPr>
            <w:r w:rsidRPr="00E92C22">
              <w:rPr>
                <w:rFonts w:ascii="Calibri" w:hAnsi="Calibri" w:cs="Calibri"/>
              </w:rPr>
              <w:t>65367</w:t>
            </w:r>
          </w:p>
        </w:tc>
        <w:tc>
          <w:tcPr>
            <w:tcW w:w="7371" w:type="dxa"/>
            <w:tcBorders>
              <w:top w:val="single" w:sz="4" w:space="0" w:color="auto"/>
              <w:left w:val="single" w:sz="4" w:space="0" w:color="auto"/>
              <w:bottom w:val="single" w:sz="4" w:space="0" w:color="auto"/>
              <w:right w:val="single" w:sz="4" w:space="0" w:color="auto"/>
            </w:tcBorders>
            <w:hideMark/>
          </w:tcPr>
          <w:p w14:paraId="26EC08A0" w14:textId="77777777" w:rsidR="00270FBF" w:rsidRPr="00E92C22" w:rsidRDefault="00270FBF" w:rsidP="00270FBF">
            <w:pPr>
              <w:rPr>
                <w:rFonts w:ascii="Calibri" w:hAnsi="Calibri" w:cs="Calibri"/>
              </w:rPr>
            </w:pPr>
            <w:r w:rsidRPr="006E1170">
              <w:rPr>
                <w:rFonts w:ascii="Calibri" w:hAnsi="Calibri" w:cs="Calibri"/>
                <w:lang w:val="de-DE"/>
              </w:rPr>
              <w:t xml:space="preserve">Li Y, Nishihara E, Kakudo K (2011). </w:t>
            </w:r>
            <w:r w:rsidRPr="00E92C22">
              <w:rPr>
                <w:rFonts w:ascii="Calibri" w:hAnsi="Calibri" w:cs="Calibri"/>
              </w:rPr>
              <w:t xml:space="preserve">Hashimoto's thyroiditis: old concepts and new insights. Curr </w:t>
            </w:r>
            <w:proofErr w:type="spellStart"/>
            <w:r w:rsidRPr="00E92C22">
              <w:rPr>
                <w:rFonts w:ascii="Calibri" w:hAnsi="Calibri" w:cs="Calibri"/>
              </w:rPr>
              <w:t>Opin</w:t>
            </w:r>
            <w:proofErr w:type="spellEnd"/>
            <w:r w:rsidRPr="00E92C22">
              <w:rPr>
                <w:rFonts w:ascii="Calibri" w:hAnsi="Calibri" w:cs="Calibri"/>
              </w:rPr>
              <w:t xml:space="preserve"> </w:t>
            </w:r>
            <w:proofErr w:type="spellStart"/>
            <w:r w:rsidRPr="00E92C22">
              <w:rPr>
                <w:rFonts w:ascii="Calibri" w:hAnsi="Calibri" w:cs="Calibri"/>
              </w:rPr>
              <w:t>Rheumatol</w:t>
            </w:r>
            <w:proofErr w:type="spellEnd"/>
            <w:r w:rsidRPr="00E92C22">
              <w:rPr>
                <w:rFonts w:ascii="Calibri" w:hAnsi="Calibri" w:cs="Calibri"/>
              </w:rPr>
              <w:t>, 23(1): 102-7.</w:t>
            </w:r>
          </w:p>
        </w:tc>
      </w:tr>
      <w:tr w:rsidR="00270FBF" w14:paraId="3E93313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67277AC" w14:textId="77777777" w:rsidR="00270FBF" w:rsidRPr="00E92C22" w:rsidRDefault="00270FBF" w:rsidP="00270FBF">
            <w:pPr>
              <w:jc w:val="center"/>
              <w:rPr>
                <w:rFonts w:ascii="Calibri" w:hAnsi="Calibri" w:cs="Calibri"/>
              </w:rPr>
            </w:pPr>
            <w:r w:rsidRPr="00E92C22">
              <w:rPr>
                <w:rFonts w:ascii="Calibri" w:hAnsi="Calibri" w:cs="Calibri"/>
              </w:rPr>
              <w:t>65648</w:t>
            </w:r>
          </w:p>
        </w:tc>
        <w:tc>
          <w:tcPr>
            <w:tcW w:w="7371" w:type="dxa"/>
            <w:tcBorders>
              <w:top w:val="single" w:sz="4" w:space="0" w:color="auto"/>
              <w:left w:val="single" w:sz="4" w:space="0" w:color="auto"/>
              <w:bottom w:val="single" w:sz="4" w:space="0" w:color="auto"/>
              <w:right w:val="single" w:sz="4" w:space="0" w:color="auto"/>
            </w:tcBorders>
            <w:hideMark/>
          </w:tcPr>
          <w:p w14:paraId="6065DB19" w14:textId="77777777" w:rsidR="00270FBF" w:rsidRPr="00E92C22" w:rsidRDefault="00270FBF" w:rsidP="00270FBF">
            <w:pPr>
              <w:rPr>
                <w:rFonts w:ascii="Calibri" w:hAnsi="Calibri" w:cs="Calibri"/>
              </w:rPr>
            </w:pPr>
            <w:proofErr w:type="spellStart"/>
            <w:r w:rsidRPr="00E92C22">
              <w:rPr>
                <w:rFonts w:ascii="Calibri" w:hAnsi="Calibri" w:cs="Calibri"/>
              </w:rPr>
              <w:t>Lichiardopol</w:t>
            </w:r>
            <w:proofErr w:type="spellEnd"/>
            <w:r w:rsidRPr="00E92C22">
              <w:rPr>
                <w:rFonts w:ascii="Calibri" w:hAnsi="Calibri" w:cs="Calibri"/>
              </w:rPr>
              <w:t xml:space="preserve"> C, Mota M (2009). The thyroid and autoimmunity. Rom J Intern Med, 47(3): 207-15.</w:t>
            </w:r>
          </w:p>
        </w:tc>
      </w:tr>
      <w:tr w:rsidR="00270FBF" w14:paraId="16B83C5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FD3CA5F" w14:textId="77777777" w:rsidR="00270FBF" w:rsidRPr="00E92C22" w:rsidRDefault="00270FBF" w:rsidP="00270FBF">
            <w:pPr>
              <w:jc w:val="center"/>
              <w:rPr>
                <w:rFonts w:ascii="Calibri" w:hAnsi="Calibri" w:cs="Calibri"/>
              </w:rPr>
            </w:pPr>
            <w:r w:rsidRPr="00E92C22">
              <w:rPr>
                <w:rFonts w:ascii="Calibri" w:hAnsi="Calibri" w:cs="Calibri"/>
              </w:rPr>
              <w:t>102308</w:t>
            </w:r>
          </w:p>
        </w:tc>
        <w:tc>
          <w:tcPr>
            <w:tcW w:w="7371" w:type="dxa"/>
            <w:tcBorders>
              <w:top w:val="single" w:sz="4" w:space="0" w:color="auto"/>
              <w:left w:val="single" w:sz="4" w:space="0" w:color="auto"/>
              <w:bottom w:val="single" w:sz="4" w:space="0" w:color="auto"/>
              <w:right w:val="single" w:sz="4" w:space="0" w:color="auto"/>
            </w:tcBorders>
            <w:hideMark/>
          </w:tcPr>
          <w:p w14:paraId="6B076B9C" w14:textId="77777777" w:rsidR="00270FBF" w:rsidRPr="00E92C22" w:rsidRDefault="00270FBF" w:rsidP="00270FBF">
            <w:pPr>
              <w:rPr>
                <w:rFonts w:ascii="Calibri" w:hAnsi="Calibri" w:cs="Calibri"/>
              </w:rPr>
            </w:pPr>
            <w:r w:rsidRPr="006E1170">
              <w:rPr>
                <w:rFonts w:ascii="Calibri" w:hAnsi="Calibri" w:cs="Calibri"/>
                <w:lang w:val="de-DE"/>
              </w:rPr>
              <w:t xml:space="preserve">Lin Z, Chen L, Fang Y, et al (2014). </w:t>
            </w:r>
            <w:r w:rsidRPr="00E92C22">
              <w:rPr>
                <w:rFonts w:ascii="Calibri" w:hAnsi="Calibri" w:cs="Calibri"/>
              </w:rPr>
              <w:t>Longitudinal study on the correlations of thyroid antibody and thyroid hormone levels after radiotherapy in patients with nasopharyngeal carcinoma with radiation-induced hypothyroidism. Head Neck, 36(2): 171-5.</w:t>
            </w:r>
          </w:p>
        </w:tc>
      </w:tr>
      <w:tr w:rsidR="00270FBF" w14:paraId="444AC17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4F02C20" w14:textId="77777777" w:rsidR="00270FBF" w:rsidRPr="00E92C22" w:rsidRDefault="00270FBF" w:rsidP="00270FBF">
            <w:pPr>
              <w:jc w:val="center"/>
              <w:rPr>
                <w:rFonts w:ascii="Calibri" w:hAnsi="Calibri" w:cs="Calibri"/>
              </w:rPr>
            </w:pPr>
            <w:r w:rsidRPr="00E92C22">
              <w:rPr>
                <w:rFonts w:ascii="Calibri" w:hAnsi="Calibri" w:cs="Calibri"/>
              </w:rPr>
              <w:t>99155</w:t>
            </w:r>
          </w:p>
        </w:tc>
        <w:tc>
          <w:tcPr>
            <w:tcW w:w="7371" w:type="dxa"/>
            <w:tcBorders>
              <w:top w:val="single" w:sz="4" w:space="0" w:color="auto"/>
              <w:left w:val="single" w:sz="4" w:space="0" w:color="auto"/>
              <w:bottom w:val="single" w:sz="4" w:space="0" w:color="auto"/>
              <w:right w:val="single" w:sz="4" w:space="0" w:color="auto"/>
            </w:tcBorders>
            <w:hideMark/>
          </w:tcPr>
          <w:p w14:paraId="7CD9A2E2" w14:textId="77777777" w:rsidR="00270FBF" w:rsidRPr="00E92C22" w:rsidRDefault="00270FBF" w:rsidP="00270FBF">
            <w:pPr>
              <w:rPr>
                <w:rFonts w:ascii="Calibri" w:hAnsi="Calibri" w:cs="Calibri"/>
              </w:rPr>
            </w:pPr>
            <w:r w:rsidRPr="00E92C22">
              <w:rPr>
                <w:rFonts w:ascii="Calibri" w:hAnsi="Calibri" w:cs="Calibri"/>
              </w:rPr>
              <w:t xml:space="preserve">Lin Z, Yang Z, He B, et al (2018). Pattern of radiation-induced thyroid gland changes in nasopharyngeal carcinoma patients in 48 months after radiotherapy. </w:t>
            </w:r>
            <w:proofErr w:type="spellStart"/>
            <w:r w:rsidRPr="00E92C22">
              <w:rPr>
                <w:rFonts w:ascii="Calibri" w:hAnsi="Calibri" w:cs="Calibri"/>
              </w:rPr>
              <w:t>PLoS</w:t>
            </w:r>
            <w:proofErr w:type="spellEnd"/>
            <w:r w:rsidRPr="00E92C22">
              <w:rPr>
                <w:rFonts w:ascii="Calibri" w:hAnsi="Calibri" w:cs="Calibri"/>
              </w:rPr>
              <w:t xml:space="preserve"> One, 13(7): e0200310.</w:t>
            </w:r>
          </w:p>
        </w:tc>
      </w:tr>
      <w:tr w:rsidR="00270FBF" w14:paraId="1C8E67C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2EC0A4F" w14:textId="77777777" w:rsidR="00270FBF" w:rsidRPr="00E92C22" w:rsidRDefault="00270FBF" w:rsidP="00270FBF">
            <w:pPr>
              <w:jc w:val="center"/>
              <w:rPr>
                <w:rFonts w:ascii="Calibri" w:hAnsi="Calibri" w:cs="Calibri"/>
              </w:rPr>
            </w:pPr>
            <w:r w:rsidRPr="00E92C22">
              <w:rPr>
                <w:rFonts w:ascii="Calibri" w:hAnsi="Calibri" w:cs="Calibri"/>
              </w:rPr>
              <w:t>103524</w:t>
            </w:r>
          </w:p>
        </w:tc>
        <w:tc>
          <w:tcPr>
            <w:tcW w:w="7371" w:type="dxa"/>
            <w:tcBorders>
              <w:top w:val="single" w:sz="4" w:space="0" w:color="auto"/>
              <w:left w:val="single" w:sz="4" w:space="0" w:color="auto"/>
              <w:bottom w:val="single" w:sz="4" w:space="0" w:color="auto"/>
              <w:right w:val="single" w:sz="4" w:space="0" w:color="auto"/>
            </w:tcBorders>
            <w:hideMark/>
          </w:tcPr>
          <w:p w14:paraId="34542EA6" w14:textId="77777777" w:rsidR="00270FBF" w:rsidRPr="00E92C22" w:rsidRDefault="00270FBF" w:rsidP="00270FBF">
            <w:pPr>
              <w:rPr>
                <w:rFonts w:ascii="Calibri" w:hAnsi="Calibri" w:cs="Calibri"/>
              </w:rPr>
            </w:pPr>
            <w:r w:rsidRPr="00E92C22">
              <w:rPr>
                <w:rFonts w:ascii="Calibri" w:hAnsi="Calibri" w:cs="Calibri"/>
              </w:rPr>
              <w:t xml:space="preserve">Lindgren O, Asp P, </w:t>
            </w:r>
            <w:proofErr w:type="spellStart"/>
            <w:r w:rsidRPr="00E92C22">
              <w:rPr>
                <w:rFonts w:ascii="Calibri" w:hAnsi="Calibri" w:cs="Calibri"/>
              </w:rPr>
              <w:t>Sundlov</w:t>
            </w:r>
            <w:proofErr w:type="spellEnd"/>
            <w:r w:rsidRPr="00E92C22">
              <w:rPr>
                <w:rFonts w:ascii="Calibri" w:hAnsi="Calibri" w:cs="Calibri"/>
              </w:rPr>
              <w:t xml:space="preserve"> A, et al (2019). The effect of radioiodine treatment on TRAb, anti-TPO, and anti-TG in Graves' disease. </w:t>
            </w:r>
            <w:proofErr w:type="spellStart"/>
            <w:r w:rsidRPr="00E92C22">
              <w:rPr>
                <w:rFonts w:ascii="Calibri" w:hAnsi="Calibri" w:cs="Calibri"/>
              </w:rPr>
              <w:t>Eur</w:t>
            </w:r>
            <w:proofErr w:type="spellEnd"/>
            <w:r w:rsidRPr="00E92C22">
              <w:rPr>
                <w:rFonts w:ascii="Calibri" w:hAnsi="Calibri" w:cs="Calibri"/>
              </w:rPr>
              <w:t xml:space="preserve"> Thyroid J, 8(2): 64-9.</w:t>
            </w:r>
          </w:p>
        </w:tc>
      </w:tr>
      <w:tr w:rsidR="00270FBF" w14:paraId="241F3A0C"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E2F329A" w14:textId="77777777" w:rsidR="00270FBF" w:rsidRPr="00E92C22" w:rsidRDefault="00270FBF" w:rsidP="00270FBF">
            <w:pPr>
              <w:jc w:val="center"/>
              <w:rPr>
                <w:rFonts w:ascii="Calibri" w:hAnsi="Calibri" w:cs="Calibri"/>
              </w:rPr>
            </w:pPr>
            <w:r w:rsidRPr="00E92C22">
              <w:rPr>
                <w:rFonts w:ascii="Calibri" w:hAnsi="Calibri" w:cs="Calibri"/>
              </w:rPr>
              <w:t>102931</w:t>
            </w:r>
          </w:p>
        </w:tc>
        <w:tc>
          <w:tcPr>
            <w:tcW w:w="7371" w:type="dxa"/>
            <w:tcBorders>
              <w:top w:val="single" w:sz="4" w:space="0" w:color="auto"/>
              <w:left w:val="single" w:sz="4" w:space="0" w:color="auto"/>
              <w:bottom w:val="single" w:sz="4" w:space="0" w:color="auto"/>
              <w:right w:val="single" w:sz="4" w:space="0" w:color="auto"/>
            </w:tcBorders>
            <w:hideMark/>
          </w:tcPr>
          <w:p w14:paraId="13B50F78" w14:textId="77777777" w:rsidR="00270FBF" w:rsidRPr="00E92C22" w:rsidRDefault="00270FBF" w:rsidP="00270FBF">
            <w:pPr>
              <w:rPr>
                <w:rFonts w:ascii="Calibri" w:hAnsi="Calibri" w:cs="Calibri"/>
              </w:rPr>
            </w:pPr>
            <w:r w:rsidRPr="00E92C22">
              <w:rPr>
                <w:rFonts w:ascii="Calibri" w:hAnsi="Calibri" w:cs="Calibri"/>
              </w:rPr>
              <w:t xml:space="preserve">Lisco G, De Tullio A, </w:t>
            </w:r>
            <w:proofErr w:type="spellStart"/>
            <w:r w:rsidRPr="00E92C22">
              <w:rPr>
                <w:rFonts w:ascii="Calibri" w:hAnsi="Calibri" w:cs="Calibri"/>
              </w:rPr>
              <w:t>Jirillo</w:t>
            </w:r>
            <w:proofErr w:type="spellEnd"/>
            <w:r w:rsidRPr="00E92C22">
              <w:rPr>
                <w:rFonts w:ascii="Calibri" w:hAnsi="Calibri" w:cs="Calibri"/>
              </w:rPr>
              <w:t xml:space="preserve"> E, et al (2021). Thyroid and COVID-19: a review on pathophysiological, clinical and organizational aspects. J Endocrinol Invest, 44(9): 1801-14.</w:t>
            </w:r>
          </w:p>
        </w:tc>
      </w:tr>
      <w:tr w:rsidR="00270FBF" w14:paraId="69A136D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D02B4D3" w14:textId="77777777" w:rsidR="00270FBF" w:rsidRPr="00E92C22" w:rsidRDefault="00270FBF" w:rsidP="00270FBF">
            <w:pPr>
              <w:jc w:val="center"/>
              <w:rPr>
                <w:rFonts w:ascii="Calibri" w:hAnsi="Calibri" w:cs="Calibri"/>
              </w:rPr>
            </w:pPr>
            <w:r w:rsidRPr="00E92C22">
              <w:rPr>
                <w:rFonts w:ascii="Calibri" w:hAnsi="Calibri" w:cs="Calibri"/>
              </w:rPr>
              <w:t>58989</w:t>
            </w:r>
          </w:p>
        </w:tc>
        <w:tc>
          <w:tcPr>
            <w:tcW w:w="7371" w:type="dxa"/>
            <w:tcBorders>
              <w:top w:val="single" w:sz="4" w:space="0" w:color="auto"/>
              <w:left w:val="single" w:sz="4" w:space="0" w:color="auto"/>
              <w:bottom w:val="single" w:sz="4" w:space="0" w:color="auto"/>
              <w:right w:val="single" w:sz="4" w:space="0" w:color="auto"/>
            </w:tcBorders>
            <w:hideMark/>
          </w:tcPr>
          <w:p w14:paraId="4BDFF405" w14:textId="77777777" w:rsidR="00270FBF" w:rsidRPr="00E92C22" w:rsidRDefault="00270FBF" w:rsidP="00270FBF">
            <w:pPr>
              <w:rPr>
                <w:rFonts w:ascii="Calibri" w:hAnsi="Calibri" w:cs="Calibri"/>
              </w:rPr>
            </w:pPr>
            <w:r w:rsidRPr="00E92C22">
              <w:rPr>
                <w:rFonts w:ascii="Calibri" w:hAnsi="Calibri" w:cs="Calibri"/>
              </w:rPr>
              <w:t xml:space="preserve">Little MP (2001). Cancer after exposure to radiation </w:t>
            </w:r>
            <w:proofErr w:type="gramStart"/>
            <w:r w:rsidRPr="00E92C22">
              <w:rPr>
                <w:rFonts w:ascii="Calibri" w:hAnsi="Calibri" w:cs="Calibri"/>
              </w:rPr>
              <w:t>in the course of</w:t>
            </w:r>
            <w:proofErr w:type="gramEnd"/>
            <w:r w:rsidRPr="00E92C22">
              <w:rPr>
                <w:rFonts w:ascii="Calibri" w:hAnsi="Calibri" w:cs="Calibri"/>
              </w:rPr>
              <w:t xml:space="preserve"> treatment for benign and malignant disease. Lancet Oncol, 2(4): 212-20.</w:t>
            </w:r>
          </w:p>
        </w:tc>
      </w:tr>
      <w:tr w:rsidR="00270FBF" w14:paraId="63D62D6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8C19378" w14:textId="77777777" w:rsidR="00270FBF" w:rsidRPr="00E92C22" w:rsidRDefault="00270FBF" w:rsidP="00270FBF">
            <w:pPr>
              <w:jc w:val="center"/>
              <w:rPr>
                <w:rFonts w:ascii="Calibri" w:hAnsi="Calibri" w:cs="Calibri"/>
              </w:rPr>
            </w:pPr>
            <w:r w:rsidRPr="00E92C22">
              <w:rPr>
                <w:rFonts w:ascii="Calibri" w:hAnsi="Calibri" w:cs="Calibri"/>
              </w:rPr>
              <w:t>55323</w:t>
            </w:r>
          </w:p>
        </w:tc>
        <w:tc>
          <w:tcPr>
            <w:tcW w:w="7371" w:type="dxa"/>
            <w:tcBorders>
              <w:top w:val="single" w:sz="4" w:space="0" w:color="auto"/>
              <w:left w:val="single" w:sz="4" w:space="0" w:color="auto"/>
              <w:bottom w:val="single" w:sz="4" w:space="0" w:color="auto"/>
              <w:right w:val="single" w:sz="4" w:space="0" w:color="auto"/>
            </w:tcBorders>
            <w:hideMark/>
          </w:tcPr>
          <w:p w14:paraId="654359BA" w14:textId="77777777" w:rsidR="00270FBF" w:rsidRPr="00E92C22" w:rsidRDefault="00270FBF" w:rsidP="00270FBF">
            <w:pPr>
              <w:rPr>
                <w:rFonts w:ascii="Calibri" w:hAnsi="Calibri" w:cs="Calibri"/>
              </w:rPr>
            </w:pPr>
            <w:r w:rsidRPr="00E92C22">
              <w:rPr>
                <w:rFonts w:ascii="Calibri" w:hAnsi="Calibri" w:cs="Calibri"/>
              </w:rPr>
              <w:t xml:space="preserve">Little MP, Hall P, Charles MW (2007). Are cancer risks associated with exposures to ionising radiation from internal emitters greater than those in the Japanese A-bomb survivors? </w:t>
            </w:r>
            <w:proofErr w:type="spellStart"/>
            <w:r w:rsidRPr="00E92C22">
              <w:rPr>
                <w:rFonts w:ascii="Calibri" w:hAnsi="Calibri" w:cs="Calibri"/>
              </w:rPr>
              <w:t>Radiat</w:t>
            </w:r>
            <w:proofErr w:type="spellEnd"/>
            <w:r w:rsidRPr="00E92C22">
              <w:rPr>
                <w:rFonts w:ascii="Calibri" w:hAnsi="Calibri" w:cs="Calibri"/>
              </w:rPr>
              <w:t xml:space="preserve"> Environ </w:t>
            </w:r>
            <w:proofErr w:type="spellStart"/>
            <w:r w:rsidRPr="00E92C22">
              <w:rPr>
                <w:rFonts w:ascii="Calibri" w:hAnsi="Calibri" w:cs="Calibri"/>
              </w:rPr>
              <w:t>Biophys</w:t>
            </w:r>
            <w:proofErr w:type="spellEnd"/>
            <w:r w:rsidRPr="00E92C22">
              <w:rPr>
                <w:rFonts w:ascii="Calibri" w:hAnsi="Calibri" w:cs="Calibri"/>
              </w:rPr>
              <w:t>, 46(4): 299-310.</w:t>
            </w:r>
          </w:p>
        </w:tc>
      </w:tr>
      <w:tr w:rsidR="00270FBF" w14:paraId="26923F99"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A99AE47" w14:textId="77777777" w:rsidR="00270FBF" w:rsidRPr="00E92C22" w:rsidRDefault="00270FBF" w:rsidP="00270FBF">
            <w:pPr>
              <w:jc w:val="center"/>
              <w:rPr>
                <w:rFonts w:ascii="Calibri" w:hAnsi="Calibri" w:cs="Calibri"/>
              </w:rPr>
            </w:pPr>
            <w:r w:rsidRPr="00E92C22">
              <w:rPr>
                <w:rFonts w:ascii="Calibri" w:hAnsi="Calibri" w:cs="Calibri"/>
              </w:rPr>
              <w:lastRenderedPageBreak/>
              <w:t>99950</w:t>
            </w:r>
          </w:p>
        </w:tc>
        <w:tc>
          <w:tcPr>
            <w:tcW w:w="7371" w:type="dxa"/>
            <w:tcBorders>
              <w:top w:val="single" w:sz="4" w:space="0" w:color="auto"/>
              <w:left w:val="single" w:sz="4" w:space="0" w:color="auto"/>
              <w:bottom w:val="single" w:sz="4" w:space="0" w:color="auto"/>
              <w:right w:val="single" w:sz="4" w:space="0" w:color="auto"/>
            </w:tcBorders>
            <w:hideMark/>
          </w:tcPr>
          <w:p w14:paraId="64BFA10C" w14:textId="77777777" w:rsidR="00270FBF" w:rsidRPr="00E92C22" w:rsidRDefault="00270FBF" w:rsidP="00270FBF">
            <w:pPr>
              <w:rPr>
                <w:rFonts w:ascii="Calibri" w:hAnsi="Calibri" w:cs="Calibri"/>
              </w:rPr>
            </w:pPr>
            <w:r w:rsidRPr="00E92C22">
              <w:rPr>
                <w:rFonts w:ascii="Calibri" w:hAnsi="Calibri" w:cs="Calibri"/>
              </w:rPr>
              <w:t xml:space="preserve">Lopez-Espinosa MJ, Mondal D, Armstrong B, et al (2012). Thyroid function and perfluoroalkyl acids in children living near a chemical plant. Environ Health </w:t>
            </w:r>
            <w:proofErr w:type="spellStart"/>
            <w:r w:rsidRPr="00E92C22">
              <w:rPr>
                <w:rFonts w:ascii="Calibri" w:hAnsi="Calibri" w:cs="Calibri"/>
              </w:rPr>
              <w:t>Perspect</w:t>
            </w:r>
            <w:proofErr w:type="spellEnd"/>
            <w:r w:rsidRPr="00E92C22">
              <w:rPr>
                <w:rFonts w:ascii="Calibri" w:hAnsi="Calibri" w:cs="Calibri"/>
              </w:rPr>
              <w:t>, 120(7): 1036-41.</w:t>
            </w:r>
          </w:p>
        </w:tc>
      </w:tr>
      <w:tr w:rsidR="00270FBF" w14:paraId="0B8B807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39E9C2F" w14:textId="77777777" w:rsidR="00270FBF" w:rsidRPr="00E92C22" w:rsidRDefault="00270FBF" w:rsidP="00270FBF">
            <w:pPr>
              <w:jc w:val="center"/>
              <w:rPr>
                <w:rFonts w:ascii="Calibri" w:hAnsi="Calibri" w:cs="Calibri"/>
              </w:rPr>
            </w:pPr>
            <w:r w:rsidRPr="00E92C22">
              <w:rPr>
                <w:rFonts w:ascii="Calibri" w:hAnsi="Calibri" w:cs="Calibri"/>
              </w:rPr>
              <w:t>102932</w:t>
            </w:r>
          </w:p>
        </w:tc>
        <w:tc>
          <w:tcPr>
            <w:tcW w:w="7371" w:type="dxa"/>
            <w:tcBorders>
              <w:top w:val="single" w:sz="4" w:space="0" w:color="auto"/>
              <w:left w:val="single" w:sz="4" w:space="0" w:color="auto"/>
              <w:bottom w:val="single" w:sz="4" w:space="0" w:color="auto"/>
              <w:right w:val="single" w:sz="4" w:space="0" w:color="auto"/>
            </w:tcBorders>
            <w:hideMark/>
          </w:tcPr>
          <w:p w14:paraId="06DA9B7B" w14:textId="77777777" w:rsidR="00270FBF" w:rsidRPr="00E92C22" w:rsidRDefault="00270FBF" w:rsidP="00270FBF">
            <w:pPr>
              <w:rPr>
                <w:rFonts w:ascii="Calibri" w:hAnsi="Calibri" w:cs="Calibri"/>
              </w:rPr>
            </w:pPr>
            <w:r w:rsidRPr="00E92C22">
              <w:rPr>
                <w:rFonts w:ascii="Calibri" w:hAnsi="Calibri" w:cs="Calibri"/>
              </w:rPr>
              <w:t xml:space="preserve">Lui DT, Lee CH, Chow WS, et al (2021). Insights from a prospective follow-up of thyroid function and autoimmunity among COVID-19 survivors. Endocrinol </w:t>
            </w:r>
            <w:proofErr w:type="spellStart"/>
            <w:r w:rsidRPr="00E92C22">
              <w:rPr>
                <w:rFonts w:ascii="Calibri" w:hAnsi="Calibri" w:cs="Calibri"/>
              </w:rPr>
              <w:t>Metab</w:t>
            </w:r>
            <w:proofErr w:type="spellEnd"/>
            <w:r w:rsidRPr="00E92C22">
              <w:rPr>
                <w:rFonts w:ascii="Calibri" w:hAnsi="Calibri" w:cs="Calibri"/>
              </w:rPr>
              <w:t xml:space="preserve"> (Seoul), 36(3): 582-9.</w:t>
            </w:r>
          </w:p>
        </w:tc>
      </w:tr>
      <w:tr w:rsidR="00270FBF" w14:paraId="51E962C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1CB6930" w14:textId="77777777" w:rsidR="00270FBF" w:rsidRPr="00E92C22" w:rsidRDefault="00270FBF" w:rsidP="00270FBF">
            <w:pPr>
              <w:jc w:val="center"/>
              <w:rPr>
                <w:rFonts w:ascii="Calibri" w:hAnsi="Calibri" w:cs="Calibri"/>
              </w:rPr>
            </w:pPr>
            <w:r w:rsidRPr="00E92C22">
              <w:rPr>
                <w:rFonts w:ascii="Calibri" w:hAnsi="Calibri" w:cs="Calibri"/>
              </w:rPr>
              <w:t>102933</w:t>
            </w:r>
          </w:p>
        </w:tc>
        <w:tc>
          <w:tcPr>
            <w:tcW w:w="7371" w:type="dxa"/>
            <w:tcBorders>
              <w:top w:val="single" w:sz="4" w:space="0" w:color="auto"/>
              <w:left w:val="single" w:sz="4" w:space="0" w:color="auto"/>
              <w:bottom w:val="single" w:sz="4" w:space="0" w:color="auto"/>
              <w:right w:val="single" w:sz="4" w:space="0" w:color="auto"/>
            </w:tcBorders>
            <w:hideMark/>
          </w:tcPr>
          <w:p w14:paraId="738F0CC2" w14:textId="77777777" w:rsidR="00270FBF" w:rsidRPr="00E92C22" w:rsidRDefault="00270FBF" w:rsidP="00270FBF">
            <w:pPr>
              <w:rPr>
                <w:rFonts w:ascii="Calibri" w:hAnsi="Calibri" w:cs="Calibri"/>
              </w:rPr>
            </w:pPr>
            <w:r w:rsidRPr="00E92C22">
              <w:rPr>
                <w:rFonts w:ascii="Calibri" w:hAnsi="Calibri" w:cs="Calibri"/>
              </w:rPr>
              <w:t xml:space="preserve">Lui DT, Lee CH, Chow WS, et al (2021). Thyroid dysfunction in relation to immune profile, disease status, and outcome in 191 patients with COVID-19. J Clin Endocrinol </w:t>
            </w:r>
            <w:proofErr w:type="spellStart"/>
            <w:r w:rsidRPr="00E92C22">
              <w:rPr>
                <w:rFonts w:ascii="Calibri" w:hAnsi="Calibri" w:cs="Calibri"/>
              </w:rPr>
              <w:t>Metab</w:t>
            </w:r>
            <w:proofErr w:type="spellEnd"/>
            <w:r w:rsidRPr="00E92C22">
              <w:rPr>
                <w:rFonts w:ascii="Calibri" w:hAnsi="Calibri" w:cs="Calibri"/>
              </w:rPr>
              <w:t>, 106(2): e926-35.</w:t>
            </w:r>
          </w:p>
        </w:tc>
      </w:tr>
      <w:tr w:rsidR="00270FBF" w14:paraId="4FEFEB1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17EE687" w14:textId="77777777" w:rsidR="00270FBF" w:rsidRPr="00E92C22" w:rsidRDefault="00270FBF" w:rsidP="00270FBF">
            <w:pPr>
              <w:jc w:val="center"/>
              <w:rPr>
                <w:rFonts w:ascii="Calibri" w:hAnsi="Calibri" w:cs="Calibri"/>
              </w:rPr>
            </w:pPr>
            <w:r w:rsidRPr="00E92C22">
              <w:rPr>
                <w:rFonts w:ascii="Calibri" w:hAnsi="Calibri" w:cs="Calibri"/>
              </w:rPr>
              <w:t>102806</w:t>
            </w:r>
          </w:p>
        </w:tc>
        <w:tc>
          <w:tcPr>
            <w:tcW w:w="7371" w:type="dxa"/>
            <w:tcBorders>
              <w:top w:val="single" w:sz="4" w:space="0" w:color="auto"/>
              <w:left w:val="single" w:sz="4" w:space="0" w:color="auto"/>
              <w:bottom w:val="single" w:sz="4" w:space="0" w:color="auto"/>
              <w:right w:val="single" w:sz="4" w:space="0" w:color="auto"/>
            </w:tcBorders>
            <w:hideMark/>
          </w:tcPr>
          <w:p w14:paraId="7C5E7D0A" w14:textId="77777777" w:rsidR="00270FBF" w:rsidRPr="00E92C22" w:rsidRDefault="00270FBF" w:rsidP="00270FBF">
            <w:pPr>
              <w:rPr>
                <w:rFonts w:ascii="Calibri" w:hAnsi="Calibri" w:cs="Calibri"/>
              </w:rPr>
            </w:pPr>
            <w:r w:rsidRPr="00E92C22">
              <w:rPr>
                <w:rFonts w:ascii="Calibri" w:hAnsi="Calibri" w:cs="Calibri"/>
              </w:rPr>
              <w:t>Luongo C, Morra R, Gambale C, et al (2021). Higher baseline TSH levels predict early hypothyroidism during cancer immunotherapy. J Endocrinol Invest, 44(9): 1927-33.</w:t>
            </w:r>
          </w:p>
        </w:tc>
      </w:tr>
      <w:tr w:rsidR="00270FBF" w14:paraId="6BB97AE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21A7326" w14:textId="77777777" w:rsidR="00270FBF" w:rsidRPr="00E92C22" w:rsidRDefault="00270FBF" w:rsidP="00270FBF">
            <w:pPr>
              <w:jc w:val="center"/>
              <w:rPr>
                <w:rFonts w:ascii="Calibri" w:hAnsi="Calibri" w:cs="Calibri"/>
              </w:rPr>
            </w:pPr>
            <w:r w:rsidRPr="00E92C22">
              <w:rPr>
                <w:rFonts w:ascii="Calibri" w:hAnsi="Calibri" w:cs="Calibri"/>
              </w:rPr>
              <w:t>65642</w:t>
            </w:r>
          </w:p>
        </w:tc>
        <w:tc>
          <w:tcPr>
            <w:tcW w:w="7371" w:type="dxa"/>
            <w:tcBorders>
              <w:top w:val="single" w:sz="4" w:space="0" w:color="auto"/>
              <w:left w:val="single" w:sz="4" w:space="0" w:color="auto"/>
              <w:bottom w:val="single" w:sz="4" w:space="0" w:color="auto"/>
              <w:right w:val="single" w:sz="4" w:space="0" w:color="auto"/>
            </w:tcBorders>
            <w:hideMark/>
          </w:tcPr>
          <w:p w14:paraId="0BC04F93" w14:textId="77777777" w:rsidR="00270FBF" w:rsidRPr="00E92C22" w:rsidRDefault="00270FBF" w:rsidP="00270FBF">
            <w:pPr>
              <w:rPr>
                <w:rFonts w:ascii="Calibri" w:hAnsi="Calibri" w:cs="Calibri"/>
              </w:rPr>
            </w:pPr>
            <w:r w:rsidRPr="00E92C22">
              <w:rPr>
                <w:rFonts w:ascii="Calibri" w:hAnsi="Calibri" w:cs="Calibri"/>
              </w:rPr>
              <w:t xml:space="preserve">Lupi I, </w:t>
            </w:r>
            <w:proofErr w:type="spellStart"/>
            <w:r w:rsidRPr="00E92C22">
              <w:rPr>
                <w:rFonts w:ascii="Calibri" w:hAnsi="Calibri" w:cs="Calibri"/>
              </w:rPr>
              <w:t>Fessehatsion</w:t>
            </w:r>
            <w:proofErr w:type="spellEnd"/>
            <w:r w:rsidRPr="00E92C22">
              <w:rPr>
                <w:rFonts w:ascii="Calibri" w:hAnsi="Calibri" w:cs="Calibri"/>
              </w:rPr>
              <w:t xml:space="preserve"> R, Manca A, et al (2012). Hashimoto's thyroiditis in a benign cystic teratoma of the ovary: case report and literature review. </w:t>
            </w:r>
            <w:proofErr w:type="spellStart"/>
            <w:r w:rsidRPr="00E92C22">
              <w:rPr>
                <w:rFonts w:ascii="Calibri" w:hAnsi="Calibri" w:cs="Calibri"/>
              </w:rPr>
              <w:t>Gynecol</w:t>
            </w:r>
            <w:proofErr w:type="spellEnd"/>
            <w:r w:rsidRPr="00E92C22">
              <w:rPr>
                <w:rFonts w:ascii="Calibri" w:hAnsi="Calibri" w:cs="Calibri"/>
              </w:rPr>
              <w:t xml:space="preserve"> Endocrinol, 28(1): 39-42.</w:t>
            </w:r>
          </w:p>
        </w:tc>
      </w:tr>
      <w:tr w:rsidR="00270FBF" w14:paraId="28F5AC4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5AD4BE8" w14:textId="77777777" w:rsidR="00270FBF" w:rsidRPr="00E92C22" w:rsidRDefault="00270FBF" w:rsidP="00270FBF">
            <w:pPr>
              <w:jc w:val="center"/>
              <w:rPr>
                <w:rFonts w:ascii="Calibri" w:hAnsi="Calibri" w:cs="Calibri"/>
              </w:rPr>
            </w:pPr>
            <w:r w:rsidRPr="00E92C22">
              <w:rPr>
                <w:rFonts w:ascii="Calibri" w:hAnsi="Calibri" w:cs="Calibri"/>
              </w:rPr>
              <w:t>21337</w:t>
            </w:r>
          </w:p>
        </w:tc>
        <w:tc>
          <w:tcPr>
            <w:tcW w:w="7371" w:type="dxa"/>
            <w:tcBorders>
              <w:top w:val="single" w:sz="4" w:space="0" w:color="auto"/>
              <w:left w:val="single" w:sz="4" w:space="0" w:color="auto"/>
              <w:bottom w:val="single" w:sz="4" w:space="0" w:color="auto"/>
              <w:right w:val="single" w:sz="4" w:space="0" w:color="auto"/>
            </w:tcBorders>
            <w:hideMark/>
          </w:tcPr>
          <w:p w14:paraId="2445E883" w14:textId="77777777" w:rsidR="00270FBF" w:rsidRPr="00E92C22" w:rsidRDefault="00270FBF" w:rsidP="00270FBF">
            <w:pPr>
              <w:rPr>
                <w:rFonts w:ascii="Calibri" w:hAnsi="Calibri" w:cs="Calibri"/>
              </w:rPr>
            </w:pPr>
            <w:r w:rsidRPr="006E1170">
              <w:rPr>
                <w:rFonts w:ascii="Calibri" w:hAnsi="Calibri" w:cs="Calibri"/>
                <w:lang w:val="de-DE"/>
              </w:rPr>
              <w:t xml:space="preserve">Mao XR, Zhang LT, Chen H, et al (2014). </w:t>
            </w:r>
            <w:r w:rsidRPr="00E92C22">
              <w:rPr>
                <w:rFonts w:ascii="Calibri" w:hAnsi="Calibri" w:cs="Calibri"/>
              </w:rPr>
              <w:t>Possible factors affecting thyroid dysfunction in hepatitis C virus-infected untreated patients. Exp Ther Med, 8(1): 133-40.</w:t>
            </w:r>
          </w:p>
        </w:tc>
      </w:tr>
      <w:tr w:rsidR="00270FBF" w14:paraId="64352E1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3DEEC97" w14:textId="77777777" w:rsidR="00270FBF" w:rsidRPr="00E92C22" w:rsidRDefault="00270FBF" w:rsidP="00270FBF">
            <w:pPr>
              <w:jc w:val="center"/>
              <w:rPr>
                <w:rFonts w:ascii="Calibri" w:hAnsi="Calibri" w:cs="Calibri"/>
              </w:rPr>
            </w:pPr>
            <w:r w:rsidRPr="00E92C22">
              <w:rPr>
                <w:rFonts w:ascii="Calibri" w:hAnsi="Calibri" w:cs="Calibri"/>
              </w:rPr>
              <w:t>64894</w:t>
            </w:r>
          </w:p>
        </w:tc>
        <w:tc>
          <w:tcPr>
            <w:tcW w:w="7371" w:type="dxa"/>
            <w:tcBorders>
              <w:top w:val="single" w:sz="4" w:space="0" w:color="auto"/>
              <w:left w:val="single" w:sz="4" w:space="0" w:color="auto"/>
              <w:bottom w:val="single" w:sz="4" w:space="0" w:color="auto"/>
              <w:right w:val="single" w:sz="4" w:space="0" w:color="auto"/>
            </w:tcBorders>
            <w:hideMark/>
          </w:tcPr>
          <w:p w14:paraId="4A276407" w14:textId="77777777" w:rsidR="00270FBF" w:rsidRPr="00E92C22" w:rsidRDefault="00270FBF" w:rsidP="00270FBF">
            <w:pPr>
              <w:rPr>
                <w:rFonts w:ascii="Calibri" w:hAnsi="Calibri" w:cs="Calibri"/>
              </w:rPr>
            </w:pPr>
            <w:r w:rsidRPr="00E92C22">
              <w:rPr>
                <w:rFonts w:ascii="Calibri" w:hAnsi="Calibri" w:cs="Calibri"/>
              </w:rPr>
              <w:t xml:space="preserve">Markou K, Georgopoulos N, </w:t>
            </w:r>
            <w:proofErr w:type="spellStart"/>
            <w:r w:rsidRPr="00E92C22">
              <w:rPr>
                <w:rFonts w:ascii="Calibri" w:hAnsi="Calibri" w:cs="Calibri"/>
              </w:rPr>
              <w:t>Kyriazopoulou</w:t>
            </w:r>
            <w:proofErr w:type="spellEnd"/>
            <w:r w:rsidRPr="00E92C22">
              <w:rPr>
                <w:rFonts w:ascii="Calibri" w:hAnsi="Calibri" w:cs="Calibri"/>
              </w:rPr>
              <w:t xml:space="preserve"> V, et al (2001). Iodine-induced hypothyroidism. Thyroid, 11(5): 501-10.</w:t>
            </w:r>
          </w:p>
        </w:tc>
      </w:tr>
      <w:tr w:rsidR="00270FBF" w14:paraId="7AB68E4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736287B" w14:textId="77777777" w:rsidR="00270FBF" w:rsidRPr="00E92C22" w:rsidRDefault="00270FBF" w:rsidP="00270FBF">
            <w:pPr>
              <w:jc w:val="center"/>
              <w:rPr>
                <w:rFonts w:ascii="Calibri" w:hAnsi="Calibri" w:cs="Calibri"/>
              </w:rPr>
            </w:pPr>
            <w:r w:rsidRPr="00E92C22">
              <w:rPr>
                <w:rFonts w:ascii="Calibri" w:hAnsi="Calibri" w:cs="Calibri"/>
              </w:rPr>
              <w:t>102525</w:t>
            </w:r>
          </w:p>
        </w:tc>
        <w:tc>
          <w:tcPr>
            <w:tcW w:w="7371" w:type="dxa"/>
            <w:tcBorders>
              <w:top w:val="single" w:sz="4" w:space="0" w:color="auto"/>
              <w:left w:val="single" w:sz="4" w:space="0" w:color="auto"/>
              <w:bottom w:val="single" w:sz="4" w:space="0" w:color="auto"/>
              <w:right w:val="single" w:sz="4" w:space="0" w:color="auto"/>
            </w:tcBorders>
            <w:hideMark/>
          </w:tcPr>
          <w:p w14:paraId="23BBE7C1" w14:textId="77777777" w:rsidR="00270FBF" w:rsidRPr="00E92C22" w:rsidRDefault="00270FBF" w:rsidP="00270FBF">
            <w:pPr>
              <w:rPr>
                <w:rFonts w:ascii="Calibri" w:hAnsi="Calibri" w:cs="Calibri"/>
              </w:rPr>
            </w:pPr>
            <w:r w:rsidRPr="00E92C22">
              <w:rPr>
                <w:rFonts w:ascii="Calibri" w:hAnsi="Calibri" w:cs="Calibri"/>
              </w:rPr>
              <w:t>Marrie RA, Yu BN, Leung S, et al (2012). The incidence and prevalence of thyroid disease do not differ in the multiple sclerosis and general populations: a validation study using administrative data. Neuroepidemiology, 39(2): 135-42.</w:t>
            </w:r>
          </w:p>
        </w:tc>
      </w:tr>
      <w:tr w:rsidR="00270FBF" w14:paraId="4817225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87C6E31" w14:textId="77777777" w:rsidR="00270FBF" w:rsidRPr="00E92C22" w:rsidRDefault="00270FBF" w:rsidP="00270FBF">
            <w:pPr>
              <w:jc w:val="center"/>
              <w:rPr>
                <w:rFonts w:ascii="Calibri" w:hAnsi="Calibri" w:cs="Calibri"/>
              </w:rPr>
            </w:pPr>
            <w:r w:rsidRPr="00E92C22">
              <w:rPr>
                <w:rFonts w:ascii="Calibri" w:hAnsi="Calibri" w:cs="Calibri"/>
              </w:rPr>
              <w:t>66932</w:t>
            </w:r>
          </w:p>
        </w:tc>
        <w:tc>
          <w:tcPr>
            <w:tcW w:w="7371" w:type="dxa"/>
            <w:tcBorders>
              <w:top w:val="single" w:sz="4" w:space="0" w:color="auto"/>
              <w:left w:val="single" w:sz="4" w:space="0" w:color="auto"/>
              <w:bottom w:val="single" w:sz="4" w:space="0" w:color="auto"/>
              <w:right w:val="single" w:sz="4" w:space="0" w:color="auto"/>
            </w:tcBorders>
            <w:hideMark/>
          </w:tcPr>
          <w:p w14:paraId="689C1D26" w14:textId="77777777" w:rsidR="00270FBF" w:rsidRPr="00E92C22" w:rsidRDefault="00270FBF" w:rsidP="00270FBF">
            <w:pPr>
              <w:rPr>
                <w:rFonts w:ascii="Calibri" w:hAnsi="Calibri" w:cs="Calibri"/>
              </w:rPr>
            </w:pPr>
            <w:r w:rsidRPr="006E1170">
              <w:rPr>
                <w:rFonts w:ascii="Calibri" w:hAnsi="Calibri" w:cs="Calibri"/>
                <w:lang w:val="de-DE"/>
              </w:rPr>
              <w:t xml:space="preserve">Martino E, Bartalena L, Bogazzi F, et al (2001). </w:t>
            </w:r>
            <w:r w:rsidRPr="00E92C22">
              <w:rPr>
                <w:rFonts w:ascii="Calibri" w:hAnsi="Calibri" w:cs="Calibri"/>
              </w:rPr>
              <w:t xml:space="preserve">The effects of amiodarone on the thyroid. </w:t>
            </w:r>
            <w:proofErr w:type="spellStart"/>
            <w:r w:rsidRPr="00E92C22">
              <w:rPr>
                <w:rFonts w:ascii="Calibri" w:hAnsi="Calibri" w:cs="Calibri"/>
              </w:rPr>
              <w:t>Endocr</w:t>
            </w:r>
            <w:proofErr w:type="spellEnd"/>
            <w:r w:rsidRPr="00E92C22">
              <w:rPr>
                <w:rFonts w:ascii="Calibri" w:hAnsi="Calibri" w:cs="Calibri"/>
              </w:rPr>
              <w:t xml:space="preserve"> Rev, 22(2): 240-54.</w:t>
            </w:r>
          </w:p>
        </w:tc>
      </w:tr>
      <w:tr w:rsidR="00270FBF" w14:paraId="624DDFE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A8DD7F3" w14:textId="77777777" w:rsidR="00270FBF" w:rsidRPr="00E92C22" w:rsidRDefault="00270FBF" w:rsidP="00270FBF">
            <w:pPr>
              <w:jc w:val="center"/>
              <w:rPr>
                <w:rFonts w:ascii="Calibri" w:hAnsi="Calibri" w:cs="Calibri"/>
              </w:rPr>
            </w:pPr>
            <w:r w:rsidRPr="00E92C22">
              <w:rPr>
                <w:rFonts w:ascii="Calibri" w:hAnsi="Calibri" w:cs="Calibri"/>
              </w:rPr>
              <w:t>102807</w:t>
            </w:r>
          </w:p>
        </w:tc>
        <w:tc>
          <w:tcPr>
            <w:tcW w:w="7371" w:type="dxa"/>
            <w:tcBorders>
              <w:top w:val="single" w:sz="4" w:space="0" w:color="auto"/>
              <w:left w:val="single" w:sz="4" w:space="0" w:color="auto"/>
              <w:bottom w:val="single" w:sz="4" w:space="0" w:color="auto"/>
              <w:right w:val="single" w:sz="4" w:space="0" w:color="auto"/>
            </w:tcBorders>
            <w:hideMark/>
          </w:tcPr>
          <w:p w14:paraId="6EA2456A" w14:textId="77777777" w:rsidR="00270FBF" w:rsidRPr="00E92C22" w:rsidRDefault="00270FBF" w:rsidP="00270FBF">
            <w:pPr>
              <w:rPr>
                <w:rFonts w:ascii="Calibri" w:hAnsi="Calibri" w:cs="Calibri"/>
              </w:rPr>
            </w:pPr>
            <w:r w:rsidRPr="006E1170">
              <w:rPr>
                <w:rFonts w:ascii="Calibri" w:hAnsi="Calibri" w:cs="Calibri"/>
                <w:lang w:val="de-DE"/>
              </w:rPr>
              <w:t xml:space="preserve">Marzullo P, Minocci A, Tagliaferri MA, et al (2010). </w:t>
            </w:r>
            <w:r w:rsidRPr="00E92C22">
              <w:rPr>
                <w:rFonts w:ascii="Calibri" w:hAnsi="Calibri" w:cs="Calibri"/>
              </w:rPr>
              <w:t xml:space="preserve">Investigations of thyroid hormones and antibodies in obesity: leptin levels are associated with thyroid autoimmunity independent of </w:t>
            </w:r>
            <w:proofErr w:type="spellStart"/>
            <w:r w:rsidRPr="00E92C22">
              <w:rPr>
                <w:rFonts w:ascii="Calibri" w:hAnsi="Calibri" w:cs="Calibri"/>
              </w:rPr>
              <w:t>bioanthropometric</w:t>
            </w:r>
            <w:proofErr w:type="spellEnd"/>
            <w:r w:rsidRPr="00E92C22">
              <w:rPr>
                <w:rFonts w:ascii="Calibri" w:hAnsi="Calibri" w:cs="Calibri"/>
              </w:rPr>
              <w:t xml:space="preserve">, hormonal, and weight-related determinants. J Clin Endocrinol </w:t>
            </w:r>
            <w:proofErr w:type="spellStart"/>
            <w:r w:rsidRPr="00E92C22">
              <w:rPr>
                <w:rFonts w:ascii="Calibri" w:hAnsi="Calibri" w:cs="Calibri"/>
              </w:rPr>
              <w:t>Metab</w:t>
            </w:r>
            <w:proofErr w:type="spellEnd"/>
            <w:r w:rsidRPr="00E92C22">
              <w:rPr>
                <w:rFonts w:ascii="Calibri" w:hAnsi="Calibri" w:cs="Calibri"/>
              </w:rPr>
              <w:t>, 95(8): 3965-72.</w:t>
            </w:r>
          </w:p>
        </w:tc>
      </w:tr>
      <w:tr w:rsidR="00270FBF" w14:paraId="16AEE28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0948101" w14:textId="77777777" w:rsidR="00270FBF" w:rsidRPr="00E92C22" w:rsidRDefault="00270FBF" w:rsidP="00270FBF">
            <w:pPr>
              <w:jc w:val="center"/>
              <w:rPr>
                <w:rFonts w:ascii="Calibri" w:hAnsi="Calibri" w:cs="Calibri"/>
              </w:rPr>
            </w:pPr>
            <w:r w:rsidRPr="00E92C22">
              <w:rPr>
                <w:rFonts w:ascii="Calibri" w:hAnsi="Calibri" w:cs="Calibri"/>
              </w:rPr>
              <w:t>102808</w:t>
            </w:r>
          </w:p>
        </w:tc>
        <w:tc>
          <w:tcPr>
            <w:tcW w:w="7371" w:type="dxa"/>
            <w:tcBorders>
              <w:top w:val="single" w:sz="4" w:space="0" w:color="auto"/>
              <w:left w:val="single" w:sz="4" w:space="0" w:color="auto"/>
              <w:bottom w:val="single" w:sz="4" w:space="0" w:color="auto"/>
              <w:right w:val="single" w:sz="4" w:space="0" w:color="auto"/>
            </w:tcBorders>
            <w:hideMark/>
          </w:tcPr>
          <w:p w14:paraId="3C25F182" w14:textId="77777777" w:rsidR="00270FBF" w:rsidRPr="00E92C22" w:rsidRDefault="00270FBF" w:rsidP="00270FBF">
            <w:pPr>
              <w:rPr>
                <w:rFonts w:ascii="Calibri" w:hAnsi="Calibri" w:cs="Calibri"/>
              </w:rPr>
            </w:pPr>
            <w:r w:rsidRPr="006E1170">
              <w:rPr>
                <w:rFonts w:ascii="Calibri" w:hAnsi="Calibri" w:cs="Calibri"/>
                <w:lang w:val="de-DE"/>
              </w:rPr>
              <w:t xml:space="preserve">Mavroson MM, Patel N, Akker E (2017). </w:t>
            </w:r>
            <w:proofErr w:type="spellStart"/>
            <w:r w:rsidRPr="00E92C22">
              <w:rPr>
                <w:rFonts w:ascii="Calibri" w:hAnsi="Calibri" w:cs="Calibri"/>
              </w:rPr>
              <w:t>Myxedema</w:t>
            </w:r>
            <w:proofErr w:type="spellEnd"/>
            <w:r w:rsidRPr="00E92C22">
              <w:rPr>
                <w:rFonts w:ascii="Calibri" w:hAnsi="Calibri" w:cs="Calibri"/>
              </w:rPr>
              <w:t xml:space="preserve"> psychosis in a patient with undiagnosed </w:t>
            </w:r>
            <w:proofErr w:type="spellStart"/>
            <w:r w:rsidRPr="00E92C22">
              <w:rPr>
                <w:rFonts w:ascii="Calibri" w:hAnsi="Calibri" w:cs="Calibri"/>
              </w:rPr>
              <w:t>hashimoto</w:t>
            </w:r>
            <w:proofErr w:type="spellEnd"/>
            <w:r w:rsidRPr="00E92C22">
              <w:rPr>
                <w:rFonts w:ascii="Calibri" w:hAnsi="Calibri" w:cs="Calibri"/>
              </w:rPr>
              <w:t xml:space="preserve"> thyroiditis. J Am Osteopath Assoc, 117(1): 50-4.</w:t>
            </w:r>
          </w:p>
        </w:tc>
      </w:tr>
      <w:tr w:rsidR="00270FBF" w14:paraId="1C01CF2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E34B712" w14:textId="77777777" w:rsidR="00270FBF" w:rsidRPr="00E92C22" w:rsidRDefault="00270FBF" w:rsidP="00270FBF">
            <w:pPr>
              <w:jc w:val="center"/>
              <w:rPr>
                <w:rFonts w:ascii="Calibri" w:hAnsi="Calibri" w:cs="Calibri"/>
              </w:rPr>
            </w:pPr>
            <w:r w:rsidRPr="00E92C22">
              <w:rPr>
                <w:rFonts w:ascii="Calibri" w:hAnsi="Calibri" w:cs="Calibri"/>
              </w:rPr>
              <w:t>102523</w:t>
            </w:r>
          </w:p>
        </w:tc>
        <w:tc>
          <w:tcPr>
            <w:tcW w:w="7371" w:type="dxa"/>
            <w:tcBorders>
              <w:top w:val="single" w:sz="4" w:space="0" w:color="auto"/>
              <w:left w:val="single" w:sz="4" w:space="0" w:color="auto"/>
              <w:bottom w:val="single" w:sz="4" w:space="0" w:color="auto"/>
              <w:right w:val="single" w:sz="4" w:space="0" w:color="auto"/>
            </w:tcBorders>
            <w:hideMark/>
          </w:tcPr>
          <w:p w14:paraId="57601490" w14:textId="77777777" w:rsidR="00270FBF" w:rsidRPr="00E92C22" w:rsidRDefault="00270FBF" w:rsidP="00270FBF">
            <w:pPr>
              <w:rPr>
                <w:rFonts w:ascii="Calibri" w:hAnsi="Calibri" w:cs="Calibri"/>
              </w:rPr>
            </w:pPr>
            <w:r w:rsidRPr="00E92C22">
              <w:rPr>
                <w:rFonts w:ascii="Calibri" w:hAnsi="Calibri" w:cs="Calibri"/>
              </w:rPr>
              <w:t>McDonald ND, Pender MP (2000). Autoimmune hypothyroidism associated with interferon beta-1b treatment in two patients with multiple sclerosis. Aust N Z J Med, 30(2): 278-9.</w:t>
            </w:r>
          </w:p>
        </w:tc>
      </w:tr>
      <w:tr w:rsidR="00270FBF" w14:paraId="5BE66CD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C74C1CB" w14:textId="77777777" w:rsidR="00270FBF" w:rsidRPr="00E92C22" w:rsidRDefault="00270FBF" w:rsidP="00270FBF">
            <w:pPr>
              <w:jc w:val="center"/>
              <w:rPr>
                <w:rFonts w:ascii="Calibri" w:hAnsi="Calibri" w:cs="Calibri"/>
              </w:rPr>
            </w:pPr>
            <w:r w:rsidRPr="00E92C22">
              <w:rPr>
                <w:rFonts w:ascii="Calibri" w:hAnsi="Calibri" w:cs="Calibri"/>
              </w:rPr>
              <w:t>67071</w:t>
            </w:r>
          </w:p>
        </w:tc>
        <w:tc>
          <w:tcPr>
            <w:tcW w:w="7371" w:type="dxa"/>
            <w:tcBorders>
              <w:top w:val="single" w:sz="4" w:space="0" w:color="auto"/>
              <w:left w:val="single" w:sz="4" w:space="0" w:color="auto"/>
              <w:bottom w:val="single" w:sz="4" w:space="0" w:color="auto"/>
              <w:right w:val="single" w:sz="4" w:space="0" w:color="auto"/>
            </w:tcBorders>
            <w:hideMark/>
          </w:tcPr>
          <w:p w14:paraId="763B4C2E" w14:textId="77777777" w:rsidR="00270FBF" w:rsidRPr="00E92C22" w:rsidRDefault="00270FBF" w:rsidP="00270FBF">
            <w:pPr>
              <w:rPr>
                <w:rFonts w:ascii="Calibri" w:hAnsi="Calibri" w:cs="Calibri"/>
              </w:rPr>
            </w:pPr>
            <w:r w:rsidRPr="006E1170">
              <w:rPr>
                <w:rFonts w:ascii="Calibri" w:hAnsi="Calibri" w:cs="Calibri"/>
                <w:lang w:val="de-DE"/>
              </w:rPr>
              <w:t xml:space="preserve">Meeker JD, Altshul L, Hauser R (2007). </w:t>
            </w:r>
            <w:r w:rsidRPr="00E92C22">
              <w:rPr>
                <w:rFonts w:ascii="Calibri" w:hAnsi="Calibri" w:cs="Calibri"/>
              </w:rPr>
              <w:t xml:space="preserve">Serum PCBs, </w:t>
            </w:r>
            <w:proofErr w:type="spellStart"/>
            <w:proofErr w:type="gramStart"/>
            <w:r w:rsidRPr="00E92C22">
              <w:rPr>
                <w:rFonts w:ascii="Calibri" w:hAnsi="Calibri" w:cs="Calibri"/>
              </w:rPr>
              <w:t>p,p</w:t>
            </w:r>
            <w:proofErr w:type="spellEnd"/>
            <w:proofErr w:type="gramEnd"/>
            <w:r w:rsidRPr="00E92C22">
              <w:rPr>
                <w:rFonts w:ascii="Calibri" w:hAnsi="Calibri" w:cs="Calibri"/>
              </w:rPr>
              <w:t>'-DDE and HCB predict thyroid hormone levels in men. Environ Res, 104(2): 296-304.</w:t>
            </w:r>
          </w:p>
        </w:tc>
      </w:tr>
      <w:tr w:rsidR="00270FBF" w14:paraId="69A503B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1EA056A" w14:textId="77777777" w:rsidR="00270FBF" w:rsidRPr="00E92C22" w:rsidRDefault="00270FBF" w:rsidP="00270FBF">
            <w:pPr>
              <w:jc w:val="center"/>
              <w:rPr>
                <w:rFonts w:ascii="Calibri" w:hAnsi="Calibri" w:cs="Calibri"/>
              </w:rPr>
            </w:pPr>
            <w:r w:rsidRPr="00E92C22">
              <w:rPr>
                <w:rFonts w:ascii="Calibri" w:hAnsi="Calibri" w:cs="Calibri"/>
              </w:rPr>
              <w:t>101442</w:t>
            </w:r>
          </w:p>
        </w:tc>
        <w:tc>
          <w:tcPr>
            <w:tcW w:w="7371" w:type="dxa"/>
            <w:tcBorders>
              <w:top w:val="single" w:sz="4" w:space="0" w:color="auto"/>
              <w:left w:val="single" w:sz="4" w:space="0" w:color="auto"/>
              <w:bottom w:val="single" w:sz="4" w:space="0" w:color="auto"/>
              <w:right w:val="single" w:sz="4" w:space="0" w:color="auto"/>
            </w:tcBorders>
            <w:hideMark/>
          </w:tcPr>
          <w:p w14:paraId="79DE8BC5" w14:textId="77777777" w:rsidR="00270FBF" w:rsidRPr="00E92C22" w:rsidRDefault="00270FBF" w:rsidP="00270FBF">
            <w:pPr>
              <w:rPr>
                <w:rFonts w:ascii="Calibri" w:hAnsi="Calibri" w:cs="Calibri"/>
              </w:rPr>
            </w:pPr>
            <w:r w:rsidRPr="00E92C22">
              <w:rPr>
                <w:rFonts w:ascii="Calibri" w:hAnsi="Calibri" w:cs="Calibri"/>
              </w:rPr>
              <w:t>Melmed S (2019). Hypothyroidism and thyroiditis. Williams Textbook of Endocrinology, 14th Edition, Chapter 13. Elsevier.</w:t>
            </w:r>
          </w:p>
        </w:tc>
      </w:tr>
      <w:tr w:rsidR="00270FBF" w14:paraId="3C99428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A8C8D1F" w14:textId="77777777" w:rsidR="00270FBF" w:rsidRPr="00E92C22" w:rsidRDefault="00270FBF" w:rsidP="00270FBF">
            <w:pPr>
              <w:jc w:val="center"/>
              <w:rPr>
                <w:rFonts w:ascii="Calibri" w:hAnsi="Calibri" w:cs="Calibri"/>
              </w:rPr>
            </w:pPr>
            <w:r w:rsidRPr="00E92C22">
              <w:rPr>
                <w:rFonts w:ascii="Calibri" w:hAnsi="Calibri" w:cs="Calibri"/>
              </w:rPr>
              <w:t>65641</w:t>
            </w:r>
          </w:p>
        </w:tc>
        <w:tc>
          <w:tcPr>
            <w:tcW w:w="7371" w:type="dxa"/>
            <w:tcBorders>
              <w:top w:val="single" w:sz="4" w:space="0" w:color="auto"/>
              <w:left w:val="single" w:sz="4" w:space="0" w:color="auto"/>
              <w:bottom w:val="single" w:sz="4" w:space="0" w:color="auto"/>
              <w:right w:val="single" w:sz="4" w:space="0" w:color="auto"/>
            </w:tcBorders>
            <w:hideMark/>
          </w:tcPr>
          <w:p w14:paraId="7D0ED1F3" w14:textId="77777777" w:rsidR="00270FBF" w:rsidRPr="00E92C22" w:rsidRDefault="00270FBF" w:rsidP="00270FBF">
            <w:pPr>
              <w:rPr>
                <w:rFonts w:ascii="Calibri" w:hAnsi="Calibri" w:cs="Calibri"/>
              </w:rPr>
            </w:pPr>
            <w:r w:rsidRPr="00E92C22">
              <w:rPr>
                <w:rFonts w:ascii="Calibri" w:hAnsi="Calibri" w:cs="Calibri"/>
              </w:rPr>
              <w:t>Menconi F, Hasham A, Tomer Y (2011). Environmental triggers of thyroiditis: Hepatitis C and interferon-alpha. J Endocrinol Invest, 34: 78-84.</w:t>
            </w:r>
          </w:p>
        </w:tc>
      </w:tr>
      <w:tr w:rsidR="00270FBF" w14:paraId="02B3BA1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E98FFA4" w14:textId="77777777" w:rsidR="00270FBF" w:rsidRPr="00E92C22" w:rsidRDefault="00270FBF" w:rsidP="00270FBF">
            <w:pPr>
              <w:jc w:val="center"/>
              <w:rPr>
                <w:rFonts w:ascii="Calibri" w:hAnsi="Calibri" w:cs="Calibri"/>
              </w:rPr>
            </w:pPr>
            <w:r w:rsidRPr="00E92C22">
              <w:rPr>
                <w:rFonts w:ascii="Calibri" w:hAnsi="Calibri" w:cs="Calibri"/>
              </w:rPr>
              <w:t>15083</w:t>
            </w:r>
          </w:p>
        </w:tc>
        <w:tc>
          <w:tcPr>
            <w:tcW w:w="7371" w:type="dxa"/>
            <w:tcBorders>
              <w:top w:val="single" w:sz="4" w:space="0" w:color="auto"/>
              <w:left w:val="single" w:sz="4" w:space="0" w:color="auto"/>
              <w:bottom w:val="single" w:sz="4" w:space="0" w:color="auto"/>
              <w:right w:val="single" w:sz="4" w:space="0" w:color="auto"/>
            </w:tcBorders>
            <w:hideMark/>
          </w:tcPr>
          <w:p w14:paraId="2E9419EF" w14:textId="77777777" w:rsidR="00270FBF" w:rsidRPr="00E92C22" w:rsidRDefault="00270FBF" w:rsidP="00270FBF">
            <w:pPr>
              <w:rPr>
                <w:rFonts w:ascii="Calibri" w:hAnsi="Calibri" w:cs="Calibri"/>
              </w:rPr>
            </w:pPr>
            <w:r w:rsidRPr="00E92C22">
              <w:rPr>
                <w:rFonts w:ascii="Calibri" w:hAnsi="Calibri" w:cs="Calibri"/>
              </w:rPr>
              <w:t>Meyer C, Anderson D, Dong Z, et al (2021). Prediction of thyroid hormone replacement following thyroid lobectomy: A long-term retrospective study. OTO Open, 5(1): 2473974X21992001.</w:t>
            </w:r>
          </w:p>
        </w:tc>
      </w:tr>
      <w:tr w:rsidR="00270FBF" w14:paraId="4E7BB1E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3F7F800" w14:textId="77777777" w:rsidR="00270FBF" w:rsidRPr="00E92C22" w:rsidRDefault="00270FBF" w:rsidP="00270FBF">
            <w:pPr>
              <w:jc w:val="center"/>
              <w:rPr>
                <w:rFonts w:ascii="Calibri" w:hAnsi="Calibri" w:cs="Calibri"/>
              </w:rPr>
            </w:pPr>
            <w:r w:rsidRPr="00E92C22">
              <w:rPr>
                <w:rFonts w:ascii="Calibri" w:hAnsi="Calibri" w:cs="Calibri"/>
              </w:rPr>
              <w:t>64846</w:t>
            </w:r>
          </w:p>
        </w:tc>
        <w:tc>
          <w:tcPr>
            <w:tcW w:w="7371" w:type="dxa"/>
            <w:tcBorders>
              <w:top w:val="single" w:sz="4" w:space="0" w:color="auto"/>
              <w:left w:val="single" w:sz="4" w:space="0" w:color="auto"/>
              <w:bottom w:val="single" w:sz="4" w:space="0" w:color="auto"/>
              <w:right w:val="single" w:sz="4" w:space="0" w:color="auto"/>
            </w:tcBorders>
            <w:hideMark/>
          </w:tcPr>
          <w:p w14:paraId="1AF1EF72" w14:textId="77777777" w:rsidR="00270FBF" w:rsidRPr="00E92C22" w:rsidRDefault="00270FBF" w:rsidP="00270FBF">
            <w:pPr>
              <w:rPr>
                <w:rFonts w:ascii="Calibri" w:hAnsi="Calibri" w:cs="Calibri"/>
              </w:rPr>
            </w:pPr>
            <w:proofErr w:type="spellStart"/>
            <w:r w:rsidRPr="00E92C22">
              <w:rPr>
                <w:rFonts w:ascii="Calibri" w:hAnsi="Calibri" w:cs="Calibri"/>
              </w:rPr>
              <w:t>Michalaki</w:t>
            </w:r>
            <w:proofErr w:type="spellEnd"/>
            <w:r w:rsidRPr="00E92C22">
              <w:rPr>
                <w:rFonts w:ascii="Calibri" w:hAnsi="Calibri" w:cs="Calibri"/>
              </w:rPr>
              <w:t xml:space="preserve"> MA, </w:t>
            </w:r>
            <w:proofErr w:type="spellStart"/>
            <w:r w:rsidRPr="00E92C22">
              <w:rPr>
                <w:rFonts w:ascii="Calibri" w:hAnsi="Calibri" w:cs="Calibri"/>
              </w:rPr>
              <w:t>Vagenakis</w:t>
            </w:r>
            <w:proofErr w:type="spellEnd"/>
            <w:r w:rsidRPr="00E92C22">
              <w:rPr>
                <w:rFonts w:ascii="Calibri" w:hAnsi="Calibri" w:cs="Calibri"/>
              </w:rPr>
              <w:t xml:space="preserve"> AG, Leonardou AS, et al (2006). Thyroid function in humans with morbid obesity. Thyroid, 16(1): 73-8.</w:t>
            </w:r>
          </w:p>
        </w:tc>
      </w:tr>
      <w:tr w:rsidR="00270FBF" w14:paraId="66F182B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A65657A" w14:textId="77777777" w:rsidR="00270FBF" w:rsidRPr="00E92C22" w:rsidRDefault="00270FBF" w:rsidP="00270FBF">
            <w:pPr>
              <w:jc w:val="center"/>
              <w:rPr>
                <w:rFonts w:ascii="Calibri" w:hAnsi="Calibri" w:cs="Calibri"/>
              </w:rPr>
            </w:pPr>
            <w:r w:rsidRPr="00E92C22">
              <w:rPr>
                <w:rFonts w:ascii="Calibri" w:hAnsi="Calibri" w:cs="Calibri"/>
              </w:rPr>
              <w:t>65380</w:t>
            </w:r>
          </w:p>
        </w:tc>
        <w:tc>
          <w:tcPr>
            <w:tcW w:w="7371" w:type="dxa"/>
            <w:tcBorders>
              <w:top w:val="single" w:sz="4" w:space="0" w:color="auto"/>
              <w:left w:val="single" w:sz="4" w:space="0" w:color="auto"/>
              <w:bottom w:val="single" w:sz="4" w:space="0" w:color="auto"/>
              <w:right w:val="single" w:sz="4" w:space="0" w:color="auto"/>
            </w:tcBorders>
            <w:hideMark/>
          </w:tcPr>
          <w:p w14:paraId="1EF2E2BF" w14:textId="77777777" w:rsidR="00270FBF" w:rsidRPr="00E92C22" w:rsidRDefault="00270FBF" w:rsidP="00270FBF">
            <w:pPr>
              <w:rPr>
                <w:rFonts w:ascii="Calibri" w:hAnsi="Calibri" w:cs="Calibri"/>
              </w:rPr>
            </w:pPr>
            <w:r w:rsidRPr="00E92C22">
              <w:rPr>
                <w:rFonts w:ascii="Calibri" w:hAnsi="Calibri" w:cs="Calibri"/>
              </w:rPr>
              <w:t>Michels AW, Eisenbarth GS (2010). Immunologic endocrine disorders. J Allergy Clin Immunol, 125(2 Suppl 2): S226-37.</w:t>
            </w:r>
          </w:p>
        </w:tc>
      </w:tr>
      <w:tr w:rsidR="00270FBF" w14:paraId="4F237F2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A318631" w14:textId="77777777" w:rsidR="00270FBF" w:rsidRPr="00E92C22" w:rsidRDefault="00270FBF" w:rsidP="00270FBF">
            <w:pPr>
              <w:jc w:val="center"/>
              <w:rPr>
                <w:rFonts w:ascii="Calibri" w:hAnsi="Calibri" w:cs="Calibri"/>
              </w:rPr>
            </w:pPr>
            <w:r w:rsidRPr="00E92C22">
              <w:rPr>
                <w:rFonts w:ascii="Calibri" w:hAnsi="Calibri" w:cs="Calibri"/>
              </w:rPr>
              <w:lastRenderedPageBreak/>
              <w:t>102809</w:t>
            </w:r>
          </w:p>
        </w:tc>
        <w:tc>
          <w:tcPr>
            <w:tcW w:w="7371" w:type="dxa"/>
            <w:tcBorders>
              <w:top w:val="single" w:sz="4" w:space="0" w:color="auto"/>
              <w:left w:val="single" w:sz="4" w:space="0" w:color="auto"/>
              <w:bottom w:val="single" w:sz="4" w:space="0" w:color="auto"/>
              <w:right w:val="single" w:sz="4" w:space="0" w:color="auto"/>
            </w:tcBorders>
            <w:hideMark/>
          </w:tcPr>
          <w:p w14:paraId="38F5F778" w14:textId="77777777" w:rsidR="00270FBF" w:rsidRPr="00E92C22" w:rsidRDefault="00270FBF" w:rsidP="00270FBF">
            <w:pPr>
              <w:rPr>
                <w:rFonts w:ascii="Calibri" w:hAnsi="Calibri" w:cs="Calibri"/>
              </w:rPr>
            </w:pPr>
            <w:r w:rsidRPr="00E92C22">
              <w:rPr>
                <w:rFonts w:ascii="Calibri" w:hAnsi="Calibri" w:cs="Calibri"/>
              </w:rPr>
              <w:t>Mincer DL (2021). Hashimoto thyroiditis. Retrieved 22 October 2021, from https://www.ncbi.nlm.nih.gov/books/NBK459262/</w:t>
            </w:r>
          </w:p>
        </w:tc>
      </w:tr>
      <w:tr w:rsidR="00270FBF" w14:paraId="705666E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FD0C1DF" w14:textId="77777777" w:rsidR="00270FBF" w:rsidRPr="00E92C22" w:rsidRDefault="00270FBF" w:rsidP="00270FBF">
            <w:pPr>
              <w:jc w:val="center"/>
              <w:rPr>
                <w:rFonts w:ascii="Calibri" w:hAnsi="Calibri" w:cs="Calibri"/>
              </w:rPr>
            </w:pPr>
            <w:r w:rsidRPr="00E92C22">
              <w:rPr>
                <w:rFonts w:ascii="Calibri" w:hAnsi="Calibri" w:cs="Calibri"/>
              </w:rPr>
              <w:t>65643</w:t>
            </w:r>
          </w:p>
        </w:tc>
        <w:tc>
          <w:tcPr>
            <w:tcW w:w="7371" w:type="dxa"/>
            <w:tcBorders>
              <w:top w:val="single" w:sz="4" w:space="0" w:color="auto"/>
              <w:left w:val="single" w:sz="4" w:space="0" w:color="auto"/>
              <w:bottom w:val="single" w:sz="4" w:space="0" w:color="auto"/>
              <w:right w:val="single" w:sz="4" w:space="0" w:color="auto"/>
            </w:tcBorders>
            <w:hideMark/>
          </w:tcPr>
          <w:p w14:paraId="26AA5A49" w14:textId="77777777" w:rsidR="00270FBF" w:rsidRPr="00E92C22" w:rsidRDefault="00270FBF" w:rsidP="00270FBF">
            <w:pPr>
              <w:rPr>
                <w:rFonts w:ascii="Calibri" w:hAnsi="Calibri" w:cs="Calibri"/>
              </w:rPr>
            </w:pPr>
            <w:proofErr w:type="spellStart"/>
            <w:r w:rsidRPr="00E92C22">
              <w:rPr>
                <w:rFonts w:ascii="Calibri" w:hAnsi="Calibri" w:cs="Calibri"/>
              </w:rPr>
              <w:t>Minciullo</w:t>
            </w:r>
            <w:proofErr w:type="spellEnd"/>
            <w:r w:rsidRPr="00E92C22">
              <w:rPr>
                <w:rFonts w:ascii="Calibri" w:hAnsi="Calibri" w:cs="Calibri"/>
              </w:rPr>
              <w:t xml:space="preserve"> PL, Ruggeri RM, Vita G, et al (2009). Development of Hashimoto's thyroiditis after subacute thyroiditis: an unusual patient. Thyroid, 19(1): 73-4.</w:t>
            </w:r>
          </w:p>
        </w:tc>
      </w:tr>
      <w:tr w:rsidR="00270FBF" w14:paraId="3997EF6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DB78C15" w14:textId="77777777" w:rsidR="00270FBF" w:rsidRPr="00E92C22" w:rsidRDefault="00270FBF" w:rsidP="00270FBF">
            <w:pPr>
              <w:jc w:val="center"/>
              <w:rPr>
                <w:rFonts w:ascii="Calibri" w:hAnsi="Calibri" w:cs="Calibri"/>
              </w:rPr>
            </w:pPr>
            <w:r w:rsidRPr="00E92C22">
              <w:rPr>
                <w:rFonts w:ascii="Calibri" w:hAnsi="Calibri" w:cs="Calibri"/>
              </w:rPr>
              <w:t>65157</w:t>
            </w:r>
          </w:p>
        </w:tc>
        <w:tc>
          <w:tcPr>
            <w:tcW w:w="7371" w:type="dxa"/>
            <w:tcBorders>
              <w:top w:val="single" w:sz="4" w:space="0" w:color="auto"/>
              <w:left w:val="single" w:sz="4" w:space="0" w:color="auto"/>
              <w:bottom w:val="single" w:sz="4" w:space="0" w:color="auto"/>
              <w:right w:val="single" w:sz="4" w:space="0" w:color="auto"/>
            </w:tcBorders>
            <w:hideMark/>
          </w:tcPr>
          <w:p w14:paraId="4585D061" w14:textId="77777777" w:rsidR="00270FBF" w:rsidRPr="00E92C22" w:rsidRDefault="00270FBF" w:rsidP="00270FBF">
            <w:pPr>
              <w:rPr>
                <w:rFonts w:ascii="Calibri" w:hAnsi="Calibri" w:cs="Calibri"/>
              </w:rPr>
            </w:pPr>
            <w:r w:rsidRPr="006E1170">
              <w:rPr>
                <w:rFonts w:ascii="Calibri" w:hAnsi="Calibri" w:cs="Calibri"/>
                <w:lang w:val="de-DE"/>
              </w:rPr>
              <w:t xml:space="preserve">Mittra ES, Niederkohr RD, Rodriguez C, et al (2008). </w:t>
            </w:r>
            <w:r w:rsidRPr="00E92C22">
              <w:rPr>
                <w:rFonts w:ascii="Calibri" w:hAnsi="Calibri" w:cs="Calibri"/>
              </w:rPr>
              <w:t xml:space="preserve">Uncommon causes of thyrotoxicosis. J </w:t>
            </w:r>
            <w:proofErr w:type="spellStart"/>
            <w:r w:rsidRPr="00E92C22">
              <w:rPr>
                <w:rFonts w:ascii="Calibri" w:hAnsi="Calibri" w:cs="Calibri"/>
              </w:rPr>
              <w:t>Nucl</w:t>
            </w:r>
            <w:proofErr w:type="spellEnd"/>
            <w:r w:rsidRPr="00E92C22">
              <w:rPr>
                <w:rFonts w:ascii="Calibri" w:hAnsi="Calibri" w:cs="Calibri"/>
              </w:rPr>
              <w:t xml:space="preserve"> Med, 49(2): 265-78.</w:t>
            </w:r>
          </w:p>
        </w:tc>
      </w:tr>
      <w:tr w:rsidR="00270FBF" w14:paraId="53ED410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4C83E47" w14:textId="77777777" w:rsidR="00270FBF" w:rsidRPr="00E92C22" w:rsidRDefault="00270FBF" w:rsidP="00270FBF">
            <w:pPr>
              <w:jc w:val="center"/>
              <w:rPr>
                <w:rFonts w:ascii="Calibri" w:hAnsi="Calibri" w:cs="Calibri"/>
              </w:rPr>
            </w:pPr>
            <w:r w:rsidRPr="00E92C22">
              <w:rPr>
                <w:rFonts w:ascii="Calibri" w:hAnsi="Calibri" w:cs="Calibri"/>
              </w:rPr>
              <w:t>102810</w:t>
            </w:r>
          </w:p>
        </w:tc>
        <w:tc>
          <w:tcPr>
            <w:tcW w:w="7371" w:type="dxa"/>
            <w:tcBorders>
              <w:top w:val="single" w:sz="4" w:space="0" w:color="auto"/>
              <w:left w:val="single" w:sz="4" w:space="0" w:color="auto"/>
              <w:bottom w:val="single" w:sz="4" w:space="0" w:color="auto"/>
              <w:right w:val="single" w:sz="4" w:space="0" w:color="auto"/>
            </w:tcBorders>
            <w:hideMark/>
          </w:tcPr>
          <w:p w14:paraId="6109E6EF" w14:textId="77777777" w:rsidR="00270FBF" w:rsidRPr="00E92C22" w:rsidRDefault="00270FBF" w:rsidP="00270FBF">
            <w:pPr>
              <w:rPr>
                <w:rFonts w:ascii="Calibri" w:hAnsi="Calibri" w:cs="Calibri"/>
              </w:rPr>
            </w:pPr>
            <w:r w:rsidRPr="00E92C22">
              <w:rPr>
                <w:rFonts w:ascii="Calibri" w:hAnsi="Calibri" w:cs="Calibri"/>
              </w:rPr>
              <w:t>Mohammed MS, Shoeib NS, Sabry IM, et al (2018). Evaluation of thyroid functions in patients with multiple sclerosis before and after treatment with interferon beta. Thyroid Disorders Ther, 7: 1.</w:t>
            </w:r>
          </w:p>
        </w:tc>
      </w:tr>
      <w:tr w:rsidR="00270FBF" w14:paraId="6B953DA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FE594F2" w14:textId="77777777" w:rsidR="00270FBF" w:rsidRPr="00E92C22" w:rsidRDefault="00270FBF" w:rsidP="00270FBF">
            <w:pPr>
              <w:jc w:val="center"/>
              <w:rPr>
                <w:rFonts w:ascii="Calibri" w:hAnsi="Calibri" w:cs="Calibri"/>
              </w:rPr>
            </w:pPr>
            <w:r w:rsidRPr="00E92C22">
              <w:rPr>
                <w:rFonts w:ascii="Calibri" w:hAnsi="Calibri" w:cs="Calibri"/>
              </w:rPr>
              <w:t>65357</w:t>
            </w:r>
          </w:p>
        </w:tc>
        <w:tc>
          <w:tcPr>
            <w:tcW w:w="7371" w:type="dxa"/>
            <w:tcBorders>
              <w:top w:val="single" w:sz="4" w:space="0" w:color="auto"/>
              <w:left w:val="single" w:sz="4" w:space="0" w:color="auto"/>
              <w:bottom w:val="single" w:sz="4" w:space="0" w:color="auto"/>
              <w:right w:val="single" w:sz="4" w:space="0" w:color="auto"/>
            </w:tcBorders>
            <w:hideMark/>
          </w:tcPr>
          <w:p w14:paraId="358FE01B" w14:textId="77777777" w:rsidR="00270FBF" w:rsidRPr="00E92C22" w:rsidRDefault="00270FBF" w:rsidP="00270FBF">
            <w:pPr>
              <w:rPr>
                <w:rFonts w:ascii="Calibri" w:hAnsi="Calibri" w:cs="Calibri"/>
              </w:rPr>
            </w:pPr>
            <w:r w:rsidRPr="00E92C22">
              <w:rPr>
                <w:rFonts w:ascii="Calibri" w:hAnsi="Calibri" w:cs="Calibri"/>
              </w:rPr>
              <w:t xml:space="preserve">Mori K, Yoshida K (2010). Viral infection in induction of Hashimoto's thyroiditis: a key player or just a bystander? Curr </w:t>
            </w:r>
            <w:proofErr w:type="spellStart"/>
            <w:r w:rsidRPr="00E92C22">
              <w:rPr>
                <w:rFonts w:ascii="Calibri" w:hAnsi="Calibri" w:cs="Calibri"/>
              </w:rPr>
              <w:t>Opin</w:t>
            </w:r>
            <w:proofErr w:type="spellEnd"/>
            <w:r w:rsidRPr="00E92C22">
              <w:rPr>
                <w:rFonts w:ascii="Calibri" w:hAnsi="Calibri" w:cs="Calibri"/>
              </w:rPr>
              <w:t xml:space="preserve"> Endocrinol Diabetes </w:t>
            </w:r>
            <w:proofErr w:type="spellStart"/>
            <w:r w:rsidRPr="00E92C22">
              <w:rPr>
                <w:rFonts w:ascii="Calibri" w:hAnsi="Calibri" w:cs="Calibri"/>
              </w:rPr>
              <w:t>Obes</w:t>
            </w:r>
            <w:proofErr w:type="spellEnd"/>
            <w:r w:rsidRPr="00E92C22">
              <w:rPr>
                <w:rFonts w:ascii="Calibri" w:hAnsi="Calibri" w:cs="Calibri"/>
              </w:rPr>
              <w:t>, 17(5): 418-24.</w:t>
            </w:r>
          </w:p>
        </w:tc>
      </w:tr>
      <w:tr w:rsidR="00270FBF" w14:paraId="5D70A20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76A30D0" w14:textId="77777777" w:rsidR="00270FBF" w:rsidRPr="00E92C22" w:rsidRDefault="00270FBF" w:rsidP="00270FBF">
            <w:pPr>
              <w:jc w:val="center"/>
              <w:rPr>
                <w:rFonts w:ascii="Calibri" w:hAnsi="Calibri" w:cs="Calibri"/>
              </w:rPr>
            </w:pPr>
            <w:r w:rsidRPr="00E92C22">
              <w:rPr>
                <w:rFonts w:ascii="Calibri" w:hAnsi="Calibri" w:cs="Calibri"/>
              </w:rPr>
              <w:t>66933</w:t>
            </w:r>
          </w:p>
        </w:tc>
        <w:tc>
          <w:tcPr>
            <w:tcW w:w="7371" w:type="dxa"/>
            <w:tcBorders>
              <w:top w:val="single" w:sz="4" w:space="0" w:color="auto"/>
              <w:left w:val="single" w:sz="4" w:space="0" w:color="auto"/>
              <w:bottom w:val="single" w:sz="4" w:space="0" w:color="auto"/>
              <w:right w:val="single" w:sz="4" w:space="0" w:color="auto"/>
            </w:tcBorders>
            <w:hideMark/>
          </w:tcPr>
          <w:p w14:paraId="1FDF87FC" w14:textId="77777777" w:rsidR="00270FBF" w:rsidRPr="00E92C22" w:rsidRDefault="00270FBF" w:rsidP="00270FBF">
            <w:pPr>
              <w:rPr>
                <w:rFonts w:ascii="Calibri" w:hAnsi="Calibri" w:cs="Calibri"/>
              </w:rPr>
            </w:pPr>
            <w:proofErr w:type="spellStart"/>
            <w:r w:rsidRPr="00E92C22">
              <w:rPr>
                <w:rFonts w:ascii="Calibri" w:hAnsi="Calibri" w:cs="Calibri"/>
              </w:rPr>
              <w:t>Morohoshi</w:t>
            </w:r>
            <w:proofErr w:type="spellEnd"/>
            <w:r w:rsidRPr="00E92C22">
              <w:rPr>
                <w:rFonts w:ascii="Calibri" w:hAnsi="Calibri" w:cs="Calibri"/>
              </w:rPr>
              <w:t xml:space="preserve"> K, Takahashi Y, Mori K (2011). Viral infection and innate pattern recognition receptors in induction of Hashimoto's thyroiditis. </w:t>
            </w:r>
            <w:proofErr w:type="spellStart"/>
            <w:r w:rsidRPr="00E92C22">
              <w:rPr>
                <w:rFonts w:ascii="Calibri" w:hAnsi="Calibri" w:cs="Calibri"/>
              </w:rPr>
              <w:t>Discov</w:t>
            </w:r>
            <w:proofErr w:type="spellEnd"/>
            <w:r w:rsidRPr="00E92C22">
              <w:rPr>
                <w:rFonts w:ascii="Calibri" w:hAnsi="Calibri" w:cs="Calibri"/>
              </w:rPr>
              <w:t xml:space="preserve"> Med, 12(67): 505-11.</w:t>
            </w:r>
          </w:p>
        </w:tc>
      </w:tr>
      <w:tr w:rsidR="00270FBF" w14:paraId="02303C4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5045AA1" w14:textId="77777777" w:rsidR="00270FBF" w:rsidRPr="00E92C22" w:rsidRDefault="00270FBF" w:rsidP="00270FBF">
            <w:pPr>
              <w:jc w:val="center"/>
              <w:rPr>
                <w:rFonts w:ascii="Calibri" w:hAnsi="Calibri" w:cs="Calibri"/>
              </w:rPr>
            </w:pPr>
            <w:r w:rsidRPr="00E92C22">
              <w:rPr>
                <w:rFonts w:ascii="Calibri" w:hAnsi="Calibri" w:cs="Calibri"/>
              </w:rPr>
              <w:t>65354</w:t>
            </w:r>
          </w:p>
        </w:tc>
        <w:tc>
          <w:tcPr>
            <w:tcW w:w="7371" w:type="dxa"/>
            <w:tcBorders>
              <w:top w:val="single" w:sz="4" w:space="0" w:color="auto"/>
              <w:left w:val="single" w:sz="4" w:space="0" w:color="auto"/>
              <w:bottom w:val="single" w:sz="4" w:space="0" w:color="auto"/>
              <w:right w:val="single" w:sz="4" w:space="0" w:color="auto"/>
            </w:tcBorders>
            <w:hideMark/>
          </w:tcPr>
          <w:p w14:paraId="5315B0E6" w14:textId="77777777" w:rsidR="00270FBF" w:rsidRPr="00E92C22" w:rsidRDefault="00270FBF" w:rsidP="00270FBF">
            <w:pPr>
              <w:rPr>
                <w:rFonts w:ascii="Calibri" w:hAnsi="Calibri" w:cs="Calibri"/>
              </w:rPr>
            </w:pPr>
            <w:r w:rsidRPr="006E1170">
              <w:rPr>
                <w:rFonts w:ascii="Calibri" w:hAnsi="Calibri" w:cs="Calibri"/>
                <w:lang w:val="de-DE"/>
              </w:rPr>
              <w:t xml:space="preserve">Nagayama J, Tsuji H, Iida T, et al (2001). </w:t>
            </w:r>
            <w:r w:rsidRPr="00E92C22">
              <w:rPr>
                <w:rFonts w:ascii="Calibri" w:hAnsi="Calibri" w:cs="Calibri"/>
              </w:rPr>
              <w:t>Effects of contamination level of dioxins and related chemicals on thyroid hormone and immune response systems in patients with "</w:t>
            </w:r>
            <w:proofErr w:type="spellStart"/>
            <w:r w:rsidRPr="00E92C22">
              <w:rPr>
                <w:rFonts w:ascii="Calibri" w:hAnsi="Calibri" w:cs="Calibri"/>
              </w:rPr>
              <w:t>Yusho</w:t>
            </w:r>
            <w:proofErr w:type="spellEnd"/>
            <w:r w:rsidRPr="00E92C22">
              <w:rPr>
                <w:rFonts w:ascii="Calibri" w:hAnsi="Calibri" w:cs="Calibri"/>
              </w:rPr>
              <w:t>". Chemosphere, 43(4-7): 1005-10.</w:t>
            </w:r>
          </w:p>
        </w:tc>
      </w:tr>
      <w:tr w:rsidR="00270FBF" w14:paraId="562F33C9"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F861A29" w14:textId="77777777" w:rsidR="00270FBF" w:rsidRPr="00E92C22" w:rsidRDefault="00270FBF" w:rsidP="00270FBF">
            <w:pPr>
              <w:jc w:val="center"/>
              <w:rPr>
                <w:rFonts w:ascii="Calibri" w:hAnsi="Calibri" w:cs="Calibri"/>
              </w:rPr>
            </w:pPr>
            <w:r w:rsidRPr="00E92C22">
              <w:rPr>
                <w:rFonts w:ascii="Calibri" w:hAnsi="Calibri" w:cs="Calibri"/>
              </w:rPr>
              <w:t>99161</w:t>
            </w:r>
          </w:p>
        </w:tc>
        <w:tc>
          <w:tcPr>
            <w:tcW w:w="7371" w:type="dxa"/>
            <w:tcBorders>
              <w:top w:val="single" w:sz="4" w:space="0" w:color="auto"/>
              <w:left w:val="single" w:sz="4" w:space="0" w:color="auto"/>
              <w:bottom w:val="single" w:sz="4" w:space="0" w:color="auto"/>
              <w:right w:val="single" w:sz="4" w:space="0" w:color="auto"/>
            </w:tcBorders>
            <w:hideMark/>
          </w:tcPr>
          <w:p w14:paraId="26A6559D" w14:textId="77777777" w:rsidR="00270FBF" w:rsidRPr="00E92C22" w:rsidRDefault="00270FBF" w:rsidP="00270FBF">
            <w:pPr>
              <w:rPr>
                <w:rFonts w:ascii="Calibri" w:hAnsi="Calibri" w:cs="Calibri"/>
              </w:rPr>
            </w:pPr>
            <w:r w:rsidRPr="00E92C22">
              <w:rPr>
                <w:rFonts w:ascii="Calibri" w:hAnsi="Calibri" w:cs="Calibri"/>
              </w:rPr>
              <w:t xml:space="preserve">Nagayama Y (2018). Radiation-related thyroid autoimmunity and dysfunction. J </w:t>
            </w:r>
            <w:proofErr w:type="spellStart"/>
            <w:r w:rsidRPr="00E92C22">
              <w:rPr>
                <w:rFonts w:ascii="Calibri" w:hAnsi="Calibri" w:cs="Calibri"/>
              </w:rPr>
              <w:t>Radiat</w:t>
            </w:r>
            <w:proofErr w:type="spellEnd"/>
            <w:r w:rsidRPr="00E92C22">
              <w:rPr>
                <w:rFonts w:ascii="Calibri" w:hAnsi="Calibri" w:cs="Calibri"/>
              </w:rPr>
              <w:t xml:space="preserve"> Res, 59(Suppl 2): ii98-107.</w:t>
            </w:r>
          </w:p>
        </w:tc>
      </w:tr>
      <w:tr w:rsidR="00270FBF" w14:paraId="50259EE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BE2985C" w14:textId="77777777" w:rsidR="00270FBF" w:rsidRPr="00E92C22" w:rsidRDefault="00270FBF" w:rsidP="00270FBF">
            <w:pPr>
              <w:jc w:val="center"/>
              <w:rPr>
                <w:rFonts w:ascii="Calibri" w:hAnsi="Calibri" w:cs="Calibri"/>
              </w:rPr>
            </w:pPr>
            <w:r w:rsidRPr="00E92C22">
              <w:rPr>
                <w:rFonts w:ascii="Calibri" w:hAnsi="Calibri" w:cs="Calibri"/>
              </w:rPr>
              <w:t>65358</w:t>
            </w:r>
          </w:p>
        </w:tc>
        <w:tc>
          <w:tcPr>
            <w:tcW w:w="7371" w:type="dxa"/>
            <w:tcBorders>
              <w:top w:val="single" w:sz="4" w:space="0" w:color="auto"/>
              <w:left w:val="single" w:sz="4" w:space="0" w:color="auto"/>
              <w:bottom w:val="single" w:sz="4" w:space="0" w:color="auto"/>
              <w:right w:val="single" w:sz="4" w:space="0" w:color="auto"/>
            </w:tcBorders>
            <w:hideMark/>
          </w:tcPr>
          <w:p w14:paraId="6EFBE24D" w14:textId="77777777" w:rsidR="00270FBF" w:rsidRPr="00E92C22" w:rsidRDefault="00270FBF" w:rsidP="00270FBF">
            <w:pPr>
              <w:rPr>
                <w:rFonts w:ascii="Calibri" w:hAnsi="Calibri" w:cs="Calibri"/>
              </w:rPr>
            </w:pPr>
            <w:r w:rsidRPr="00E92C22">
              <w:rPr>
                <w:rFonts w:ascii="Calibri" w:hAnsi="Calibri" w:cs="Calibri"/>
              </w:rPr>
              <w:t xml:space="preserve">Nagy KH, Lukacs K, Sipos P, et al (2010). Type 1 diabetes associated with Hashimoto's thyroiditis and juvenile rheumatoid arthritis: a case report with clinical and genetic investigations. </w:t>
            </w:r>
            <w:proofErr w:type="spellStart"/>
            <w:r w:rsidRPr="00E92C22">
              <w:rPr>
                <w:rFonts w:ascii="Calibri" w:hAnsi="Calibri" w:cs="Calibri"/>
              </w:rPr>
              <w:t>Pediatr</w:t>
            </w:r>
            <w:proofErr w:type="spellEnd"/>
            <w:r w:rsidRPr="00E92C22">
              <w:rPr>
                <w:rFonts w:ascii="Calibri" w:hAnsi="Calibri" w:cs="Calibri"/>
              </w:rPr>
              <w:t xml:space="preserve"> Diabetes, 11(8): 579-82.</w:t>
            </w:r>
          </w:p>
        </w:tc>
      </w:tr>
      <w:tr w:rsidR="00270FBF" w14:paraId="43AC142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E4EED26" w14:textId="77777777" w:rsidR="00270FBF" w:rsidRPr="00E92C22" w:rsidRDefault="00270FBF" w:rsidP="00270FBF">
            <w:pPr>
              <w:jc w:val="center"/>
              <w:rPr>
                <w:rFonts w:ascii="Calibri" w:hAnsi="Calibri" w:cs="Calibri"/>
              </w:rPr>
            </w:pPr>
            <w:r w:rsidRPr="00E92C22">
              <w:rPr>
                <w:rFonts w:ascii="Calibri" w:hAnsi="Calibri" w:cs="Calibri"/>
              </w:rPr>
              <w:t>102811</w:t>
            </w:r>
          </w:p>
        </w:tc>
        <w:tc>
          <w:tcPr>
            <w:tcW w:w="7371" w:type="dxa"/>
            <w:tcBorders>
              <w:top w:val="single" w:sz="4" w:space="0" w:color="auto"/>
              <w:left w:val="single" w:sz="4" w:space="0" w:color="auto"/>
              <w:bottom w:val="single" w:sz="4" w:space="0" w:color="auto"/>
              <w:right w:val="single" w:sz="4" w:space="0" w:color="auto"/>
            </w:tcBorders>
            <w:hideMark/>
          </w:tcPr>
          <w:p w14:paraId="44EC98BB" w14:textId="77777777" w:rsidR="00270FBF" w:rsidRPr="00E92C22" w:rsidRDefault="00270FBF" w:rsidP="00270FBF">
            <w:pPr>
              <w:rPr>
                <w:rFonts w:ascii="Calibri" w:hAnsi="Calibri" w:cs="Calibri"/>
              </w:rPr>
            </w:pPr>
            <w:r w:rsidRPr="006E1170">
              <w:rPr>
                <w:rFonts w:ascii="Calibri" w:hAnsi="Calibri" w:cs="Calibri"/>
                <w:lang w:val="de-DE"/>
              </w:rPr>
              <w:t xml:space="preserve">Narciso-Schiavon JL, Schiavon Lde L (2015). </w:t>
            </w:r>
            <w:r w:rsidRPr="00E92C22">
              <w:rPr>
                <w:rFonts w:ascii="Calibri" w:hAnsi="Calibri" w:cs="Calibri"/>
              </w:rPr>
              <w:t>Autoantibodies in chronic hepatitis C: A clinical perspective. World J Hepatol, 7(8): 1074-85.</w:t>
            </w:r>
          </w:p>
        </w:tc>
      </w:tr>
      <w:tr w:rsidR="00270FBF" w14:paraId="5CFF58BC"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B8EDECF" w14:textId="77777777" w:rsidR="00270FBF" w:rsidRPr="00E92C22" w:rsidRDefault="00270FBF" w:rsidP="00270FBF">
            <w:pPr>
              <w:jc w:val="center"/>
              <w:rPr>
                <w:rFonts w:ascii="Calibri" w:hAnsi="Calibri" w:cs="Calibri"/>
              </w:rPr>
            </w:pPr>
            <w:r w:rsidRPr="00E92C22">
              <w:rPr>
                <w:rFonts w:ascii="Calibri" w:hAnsi="Calibri" w:cs="Calibri"/>
              </w:rPr>
              <w:t>102371</w:t>
            </w:r>
          </w:p>
        </w:tc>
        <w:tc>
          <w:tcPr>
            <w:tcW w:w="7371" w:type="dxa"/>
            <w:tcBorders>
              <w:top w:val="single" w:sz="4" w:space="0" w:color="auto"/>
              <w:left w:val="single" w:sz="4" w:space="0" w:color="auto"/>
              <w:bottom w:val="single" w:sz="4" w:space="0" w:color="auto"/>
              <w:right w:val="single" w:sz="4" w:space="0" w:color="auto"/>
            </w:tcBorders>
            <w:hideMark/>
          </w:tcPr>
          <w:p w14:paraId="73068A95" w14:textId="77777777" w:rsidR="00270FBF" w:rsidRPr="00E92C22" w:rsidRDefault="00270FBF" w:rsidP="00270FBF">
            <w:pPr>
              <w:rPr>
                <w:rFonts w:ascii="Calibri" w:hAnsi="Calibri" w:cs="Calibri"/>
              </w:rPr>
            </w:pPr>
            <w:r w:rsidRPr="00E92C22">
              <w:rPr>
                <w:rFonts w:ascii="Calibri" w:hAnsi="Calibri" w:cs="Calibri"/>
              </w:rPr>
              <w:t xml:space="preserve">Narita T, </w:t>
            </w:r>
            <w:proofErr w:type="spellStart"/>
            <w:r w:rsidRPr="00E92C22">
              <w:rPr>
                <w:rFonts w:ascii="Calibri" w:hAnsi="Calibri" w:cs="Calibri"/>
              </w:rPr>
              <w:t>Oiso</w:t>
            </w:r>
            <w:proofErr w:type="spellEnd"/>
            <w:r w:rsidRPr="00E92C22">
              <w:rPr>
                <w:rFonts w:ascii="Calibri" w:hAnsi="Calibri" w:cs="Calibri"/>
              </w:rPr>
              <w:t xml:space="preserve"> N, </w:t>
            </w:r>
            <w:proofErr w:type="spellStart"/>
            <w:r w:rsidRPr="00E92C22">
              <w:rPr>
                <w:rFonts w:ascii="Calibri" w:hAnsi="Calibri" w:cs="Calibri"/>
              </w:rPr>
              <w:t>Taketomo</w:t>
            </w:r>
            <w:proofErr w:type="spellEnd"/>
            <w:r w:rsidRPr="00E92C22">
              <w:rPr>
                <w:rFonts w:ascii="Calibri" w:hAnsi="Calibri" w:cs="Calibri"/>
              </w:rPr>
              <w:t xml:space="preserve"> Y, et al (2016). Serological aggravation of autoimmune thyroid disease in two cases receiving nivolumab. J Dermatol, 43(2): 210-4.</w:t>
            </w:r>
          </w:p>
        </w:tc>
      </w:tr>
      <w:tr w:rsidR="00270FBF" w14:paraId="28EC332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AFBFFA2" w14:textId="77777777" w:rsidR="00270FBF" w:rsidRPr="00E92C22" w:rsidRDefault="00270FBF" w:rsidP="00270FBF">
            <w:pPr>
              <w:jc w:val="center"/>
              <w:rPr>
                <w:rFonts w:ascii="Calibri" w:hAnsi="Calibri" w:cs="Calibri"/>
              </w:rPr>
            </w:pPr>
            <w:r w:rsidRPr="00E92C22">
              <w:rPr>
                <w:rFonts w:ascii="Calibri" w:hAnsi="Calibri" w:cs="Calibri"/>
              </w:rPr>
              <w:t>90277</w:t>
            </w:r>
          </w:p>
        </w:tc>
        <w:tc>
          <w:tcPr>
            <w:tcW w:w="7371" w:type="dxa"/>
            <w:tcBorders>
              <w:top w:val="single" w:sz="4" w:space="0" w:color="auto"/>
              <w:left w:val="single" w:sz="4" w:space="0" w:color="auto"/>
              <w:bottom w:val="single" w:sz="4" w:space="0" w:color="auto"/>
              <w:right w:val="single" w:sz="4" w:space="0" w:color="auto"/>
            </w:tcBorders>
            <w:hideMark/>
          </w:tcPr>
          <w:p w14:paraId="408AD3CD" w14:textId="77777777" w:rsidR="00270FBF" w:rsidRPr="00E92C22" w:rsidRDefault="00270FBF" w:rsidP="00270FBF">
            <w:pPr>
              <w:rPr>
                <w:rFonts w:ascii="Calibri" w:hAnsi="Calibri" w:cs="Calibri"/>
              </w:rPr>
            </w:pPr>
            <w:r w:rsidRPr="00E92C22">
              <w:rPr>
                <w:rFonts w:ascii="Calibri" w:hAnsi="Calibri" w:cs="Calibri"/>
              </w:rPr>
              <w:t>National Academies of Sciences, Engineering, and Medicine (2018). Veterans and Agent Orange: Update 11, Washington, D.C: National Academy Press.</w:t>
            </w:r>
          </w:p>
        </w:tc>
      </w:tr>
      <w:tr w:rsidR="00270FBF" w14:paraId="1E0F298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873CE58" w14:textId="77777777" w:rsidR="00270FBF" w:rsidRPr="00E92C22" w:rsidRDefault="00270FBF" w:rsidP="00270FBF">
            <w:pPr>
              <w:jc w:val="center"/>
              <w:rPr>
                <w:rFonts w:ascii="Calibri" w:hAnsi="Calibri" w:cs="Calibri"/>
              </w:rPr>
            </w:pPr>
            <w:r w:rsidRPr="00E92C22">
              <w:rPr>
                <w:rFonts w:ascii="Calibri" w:hAnsi="Calibri" w:cs="Calibri"/>
              </w:rPr>
              <w:t>80742</w:t>
            </w:r>
          </w:p>
        </w:tc>
        <w:tc>
          <w:tcPr>
            <w:tcW w:w="7371" w:type="dxa"/>
            <w:tcBorders>
              <w:top w:val="single" w:sz="4" w:space="0" w:color="auto"/>
              <w:left w:val="single" w:sz="4" w:space="0" w:color="auto"/>
              <w:bottom w:val="single" w:sz="4" w:space="0" w:color="auto"/>
              <w:right w:val="single" w:sz="4" w:space="0" w:color="auto"/>
            </w:tcBorders>
            <w:hideMark/>
          </w:tcPr>
          <w:p w14:paraId="5DBFB1A7" w14:textId="77777777" w:rsidR="00270FBF" w:rsidRPr="00E92C22" w:rsidRDefault="00270FBF" w:rsidP="00270FBF">
            <w:pPr>
              <w:rPr>
                <w:rFonts w:ascii="Calibri" w:hAnsi="Calibri" w:cs="Calibri"/>
              </w:rPr>
            </w:pPr>
            <w:r w:rsidRPr="00E92C22">
              <w:rPr>
                <w:rFonts w:ascii="Calibri" w:hAnsi="Calibri" w:cs="Calibri"/>
              </w:rPr>
              <w:t>National Council on Radiation Protection &amp; Measurements (NCRP) (2009). Radiation Dose Reconstruction: Principles and Practices, NCRP Report No. 163. NCRP Publications.</w:t>
            </w:r>
          </w:p>
        </w:tc>
      </w:tr>
      <w:tr w:rsidR="00270FBF" w14:paraId="3360146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6B94CC1" w14:textId="77777777" w:rsidR="00270FBF" w:rsidRPr="00E92C22" w:rsidRDefault="00270FBF" w:rsidP="00270FBF">
            <w:pPr>
              <w:jc w:val="center"/>
              <w:rPr>
                <w:rFonts w:ascii="Calibri" w:hAnsi="Calibri" w:cs="Calibri"/>
              </w:rPr>
            </w:pPr>
            <w:r w:rsidRPr="00E92C22">
              <w:rPr>
                <w:rFonts w:ascii="Calibri" w:hAnsi="Calibri" w:cs="Calibri"/>
              </w:rPr>
              <w:t>66934</w:t>
            </w:r>
          </w:p>
        </w:tc>
        <w:tc>
          <w:tcPr>
            <w:tcW w:w="7371" w:type="dxa"/>
            <w:tcBorders>
              <w:top w:val="single" w:sz="4" w:space="0" w:color="auto"/>
              <w:left w:val="single" w:sz="4" w:space="0" w:color="auto"/>
              <w:bottom w:val="single" w:sz="4" w:space="0" w:color="auto"/>
              <w:right w:val="single" w:sz="4" w:space="0" w:color="auto"/>
            </w:tcBorders>
            <w:hideMark/>
          </w:tcPr>
          <w:p w14:paraId="4DC255BD" w14:textId="77777777" w:rsidR="00270FBF" w:rsidRPr="00E92C22" w:rsidRDefault="00270FBF" w:rsidP="00270FBF">
            <w:pPr>
              <w:rPr>
                <w:rFonts w:ascii="Calibri" w:hAnsi="Calibri" w:cs="Calibri"/>
              </w:rPr>
            </w:pPr>
            <w:r w:rsidRPr="00E92C22">
              <w:rPr>
                <w:rFonts w:ascii="Calibri" w:hAnsi="Calibri" w:cs="Calibri"/>
              </w:rPr>
              <w:t>National Health and Medical Research Council and New Zealand Ministry of Health (2006). Nutrient Reference Values for Australia and New Zealand: Iron: 187-91. Retrieved 8 March 2013, from https://www.nrv.gov.au/nutrients/iron</w:t>
            </w:r>
          </w:p>
        </w:tc>
      </w:tr>
      <w:tr w:rsidR="00270FBF" w14:paraId="318651C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7FB2D47" w14:textId="77777777" w:rsidR="00270FBF" w:rsidRPr="00E92C22" w:rsidRDefault="00270FBF" w:rsidP="00270FBF">
            <w:pPr>
              <w:jc w:val="center"/>
              <w:rPr>
                <w:rFonts w:ascii="Calibri" w:hAnsi="Calibri" w:cs="Calibri"/>
              </w:rPr>
            </w:pPr>
            <w:r w:rsidRPr="00E92C22">
              <w:rPr>
                <w:rFonts w:ascii="Calibri" w:hAnsi="Calibri" w:cs="Calibri"/>
              </w:rPr>
              <w:t>28736</w:t>
            </w:r>
          </w:p>
        </w:tc>
        <w:tc>
          <w:tcPr>
            <w:tcW w:w="7371" w:type="dxa"/>
            <w:tcBorders>
              <w:top w:val="single" w:sz="4" w:space="0" w:color="auto"/>
              <w:left w:val="single" w:sz="4" w:space="0" w:color="auto"/>
              <w:bottom w:val="single" w:sz="4" w:space="0" w:color="auto"/>
              <w:right w:val="single" w:sz="4" w:space="0" w:color="auto"/>
            </w:tcBorders>
            <w:hideMark/>
          </w:tcPr>
          <w:p w14:paraId="4A04B451" w14:textId="77777777" w:rsidR="00270FBF" w:rsidRPr="00E92C22" w:rsidRDefault="00270FBF" w:rsidP="00270FBF">
            <w:pPr>
              <w:rPr>
                <w:rFonts w:ascii="Calibri" w:hAnsi="Calibri" w:cs="Calibri"/>
              </w:rPr>
            </w:pPr>
            <w:r w:rsidRPr="00E92C22">
              <w:rPr>
                <w:rFonts w:ascii="Calibri" w:hAnsi="Calibri" w:cs="Calibri"/>
              </w:rPr>
              <w:t>National Research Centre for Environmental Toxicology (ENTOX) (2002). Examination of the Potential Exposure of Royal Australian Navy (RAN) Personnel to Polychlorinated Dibenzodioxins and Polychlorinated Dibenzofurans via Drinking Water, Executive Summary. Queensland Health Scientific Services (QHSS).</w:t>
            </w:r>
          </w:p>
        </w:tc>
      </w:tr>
      <w:tr w:rsidR="00270FBF" w14:paraId="7A2167F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8FB3A26" w14:textId="77777777" w:rsidR="00270FBF" w:rsidRPr="00E92C22" w:rsidRDefault="00270FBF" w:rsidP="00270FBF">
            <w:pPr>
              <w:jc w:val="center"/>
              <w:rPr>
                <w:rFonts w:ascii="Calibri" w:hAnsi="Calibri" w:cs="Calibri"/>
              </w:rPr>
            </w:pPr>
            <w:r w:rsidRPr="00E92C22">
              <w:rPr>
                <w:rFonts w:ascii="Calibri" w:hAnsi="Calibri" w:cs="Calibri"/>
              </w:rPr>
              <w:t>66935</w:t>
            </w:r>
          </w:p>
        </w:tc>
        <w:tc>
          <w:tcPr>
            <w:tcW w:w="7371" w:type="dxa"/>
            <w:tcBorders>
              <w:top w:val="single" w:sz="4" w:space="0" w:color="auto"/>
              <w:left w:val="single" w:sz="4" w:space="0" w:color="auto"/>
              <w:bottom w:val="single" w:sz="4" w:space="0" w:color="auto"/>
              <w:right w:val="single" w:sz="4" w:space="0" w:color="auto"/>
            </w:tcBorders>
            <w:hideMark/>
          </w:tcPr>
          <w:p w14:paraId="28F27FE6" w14:textId="77777777" w:rsidR="00270FBF" w:rsidRPr="00E92C22" w:rsidRDefault="00270FBF" w:rsidP="00270FBF">
            <w:pPr>
              <w:rPr>
                <w:rFonts w:ascii="Calibri" w:hAnsi="Calibri" w:cs="Calibri"/>
              </w:rPr>
            </w:pPr>
            <w:r w:rsidRPr="00E92C22">
              <w:rPr>
                <w:rFonts w:ascii="Calibri" w:hAnsi="Calibri" w:cs="Calibri"/>
              </w:rPr>
              <w:t xml:space="preserve">Nishihara E, Fukata S, Kimura N, et al (2006). A case of hypothyroid Graves' disease following external radiation therapy to the cervical region. </w:t>
            </w:r>
            <w:proofErr w:type="spellStart"/>
            <w:r w:rsidRPr="00E92C22">
              <w:rPr>
                <w:rFonts w:ascii="Calibri" w:hAnsi="Calibri" w:cs="Calibri"/>
              </w:rPr>
              <w:t>Endocr</w:t>
            </w:r>
            <w:proofErr w:type="spellEnd"/>
            <w:r w:rsidRPr="00E92C22">
              <w:rPr>
                <w:rFonts w:ascii="Calibri" w:hAnsi="Calibri" w:cs="Calibri"/>
              </w:rPr>
              <w:t xml:space="preserve"> J, 53(3): 357-61.</w:t>
            </w:r>
          </w:p>
        </w:tc>
      </w:tr>
      <w:tr w:rsidR="00270FBF" w14:paraId="638667F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E9DEDD4" w14:textId="77777777" w:rsidR="00270FBF" w:rsidRPr="00E92C22" w:rsidRDefault="00270FBF" w:rsidP="00270FBF">
            <w:pPr>
              <w:jc w:val="center"/>
              <w:rPr>
                <w:rFonts w:ascii="Calibri" w:hAnsi="Calibri" w:cs="Calibri"/>
              </w:rPr>
            </w:pPr>
            <w:r w:rsidRPr="00E92C22">
              <w:rPr>
                <w:rFonts w:ascii="Calibri" w:hAnsi="Calibri" w:cs="Calibri"/>
              </w:rPr>
              <w:t>16013</w:t>
            </w:r>
          </w:p>
        </w:tc>
        <w:tc>
          <w:tcPr>
            <w:tcW w:w="7371" w:type="dxa"/>
            <w:tcBorders>
              <w:top w:val="single" w:sz="4" w:space="0" w:color="auto"/>
              <w:left w:val="single" w:sz="4" w:space="0" w:color="auto"/>
              <w:bottom w:val="single" w:sz="4" w:space="0" w:color="auto"/>
              <w:right w:val="single" w:sz="4" w:space="0" w:color="auto"/>
            </w:tcBorders>
            <w:hideMark/>
          </w:tcPr>
          <w:p w14:paraId="3BB9D753" w14:textId="77777777" w:rsidR="00270FBF" w:rsidRPr="00E92C22" w:rsidRDefault="00270FBF" w:rsidP="00270FBF">
            <w:pPr>
              <w:rPr>
                <w:rFonts w:ascii="Calibri" w:hAnsi="Calibri" w:cs="Calibri"/>
              </w:rPr>
            </w:pPr>
            <w:r w:rsidRPr="006E1170">
              <w:rPr>
                <w:rFonts w:ascii="Calibri" w:hAnsi="Calibri" w:cs="Calibri"/>
                <w:lang w:val="de-DE"/>
              </w:rPr>
              <w:t xml:space="preserve">Nygaard B, Knudsen JH, Hegedus L, et al (1997). </w:t>
            </w:r>
            <w:r w:rsidRPr="00E92C22">
              <w:rPr>
                <w:rFonts w:ascii="Calibri" w:hAnsi="Calibri" w:cs="Calibri"/>
              </w:rPr>
              <w:t xml:space="preserve">Thyrotropin receptor antibodies and Graves' disease, a side-effect of 131I treatment in patients with nontoxic </w:t>
            </w:r>
            <w:proofErr w:type="spellStart"/>
            <w:r w:rsidRPr="00E92C22">
              <w:rPr>
                <w:rFonts w:ascii="Calibri" w:hAnsi="Calibri" w:cs="Calibri"/>
              </w:rPr>
              <w:t>goiter</w:t>
            </w:r>
            <w:proofErr w:type="spellEnd"/>
            <w:r w:rsidRPr="00E92C22">
              <w:rPr>
                <w:rFonts w:ascii="Calibri" w:hAnsi="Calibri" w:cs="Calibri"/>
              </w:rPr>
              <w:t xml:space="preserve">. J Clin Endocrinol </w:t>
            </w:r>
            <w:proofErr w:type="spellStart"/>
            <w:r w:rsidRPr="00E92C22">
              <w:rPr>
                <w:rFonts w:ascii="Calibri" w:hAnsi="Calibri" w:cs="Calibri"/>
              </w:rPr>
              <w:t>Metab</w:t>
            </w:r>
            <w:proofErr w:type="spellEnd"/>
            <w:r w:rsidRPr="00E92C22">
              <w:rPr>
                <w:rFonts w:ascii="Calibri" w:hAnsi="Calibri" w:cs="Calibri"/>
              </w:rPr>
              <w:t>, 82(9): 2926-30.</w:t>
            </w:r>
          </w:p>
        </w:tc>
      </w:tr>
      <w:tr w:rsidR="00270FBF" w14:paraId="6FFA2CA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65030C6" w14:textId="77777777" w:rsidR="00270FBF" w:rsidRPr="00E92C22" w:rsidRDefault="00270FBF" w:rsidP="00270FBF">
            <w:pPr>
              <w:jc w:val="center"/>
              <w:rPr>
                <w:rFonts w:ascii="Calibri" w:hAnsi="Calibri" w:cs="Calibri"/>
              </w:rPr>
            </w:pPr>
            <w:r w:rsidRPr="00E92C22">
              <w:rPr>
                <w:rFonts w:ascii="Calibri" w:hAnsi="Calibri" w:cs="Calibri"/>
              </w:rPr>
              <w:lastRenderedPageBreak/>
              <w:t>102934</w:t>
            </w:r>
          </w:p>
        </w:tc>
        <w:tc>
          <w:tcPr>
            <w:tcW w:w="7371" w:type="dxa"/>
            <w:tcBorders>
              <w:top w:val="single" w:sz="4" w:space="0" w:color="auto"/>
              <w:left w:val="single" w:sz="4" w:space="0" w:color="auto"/>
              <w:bottom w:val="single" w:sz="4" w:space="0" w:color="auto"/>
              <w:right w:val="single" w:sz="4" w:space="0" w:color="auto"/>
            </w:tcBorders>
            <w:hideMark/>
          </w:tcPr>
          <w:p w14:paraId="3D6BE9EE" w14:textId="77777777" w:rsidR="00270FBF" w:rsidRPr="00E92C22" w:rsidRDefault="00270FBF" w:rsidP="00270FBF">
            <w:pPr>
              <w:rPr>
                <w:rFonts w:ascii="Calibri" w:hAnsi="Calibri" w:cs="Calibri"/>
              </w:rPr>
            </w:pPr>
            <w:r w:rsidRPr="00E92C22">
              <w:rPr>
                <w:rFonts w:ascii="Calibri" w:hAnsi="Calibri" w:cs="Calibri"/>
              </w:rPr>
              <w:t>O'Donovan A, Cohen BE, Seal KH, et al (2015). Elevated risk for autoimmune disorders in Iraq and Afghanistan veterans with posttraumatic stress disorder. Biol Psychiatry, 77(4): 365-74.</w:t>
            </w:r>
          </w:p>
        </w:tc>
      </w:tr>
      <w:tr w:rsidR="00270FBF" w14:paraId="31382B2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B909AD3" w14:textId="77777777" w:rsidR="00270FBF" w:rsidRPr="00E92C22" w:rsidRDefault="00270FBF" w:rsidP="00270FBF">
            <w:pPr>
              <w:jc w:val="center"/>
              <w:rPr>
                <w:rFonts w:ascii="Calibri" w:hAnsi="Calibri" w:cs="Calibri"/>
              </w:rPr>
            </w:pPr>
            <w:r w:rsidRPr="00E92C22">
              <w:rPr>
                <w:rFonts w:ascii="Calibri" w:hAnsi="Calibri" w:cs="Calibri"/>
              </w:rPr>
              <w:t>66936</w:t>
            </w:r>
          </w:p>
        </w:tc>
        <w:tc>
          <w:tcPr>
            <w:tcW w:w="7371" w:type="dxa"/>
            <w:tcBorders>
              <w:top w:val="single" w:sz="4" w:space="0" w:color="auto"/>
              <w:left w:val="single" w:sz="4" w:space="0" w:color="auto"/>
              <w:bottom w:val="single" w:sz="4" w:space="0" w:color="auto"/>
              <w:right w:val="single" w:sz="4" w:space="0" w:color="auto"/>
            </w:tcBorders>
            <w:hideMark/>
          </w:tcPr>
          <w:p w14:paraId="2590707D" w14:textId="77777777" w:rsidR="00270FBF" w:rsidRPr="00E92C22" w:rsidRDefault="00270FBF" w:rsidP="00270FBF">
            <w:pPr>
              <w:rPr>
                <w:rFonts w:ascii="Calibri" w:hAnsi="Calibri" w:cs="Calibri"/>
              </w:rPr>
            </w:pPr>
            <w:proofErr w:type="spellStart"/>
            <w:r w:rsidRPr="00E92C22">
              <w:rPr>
                <w:rFonts w:ascii="Calibri" w:hAnsi="Calibri" w:cs="Calibri"/>
              </w:rPr>
              <w:t>Ohye</w:t>
            </w:r>
            <w:proofErr w:type="spellEnd"/>
            <w:r w:rsidRPr="00E92C22">
              <w:rPr>
                <w:rFonts w:ascii="Calibri" w:hAnsi="Calibri" w:cs="Calibri"/>
              </w:rPr>
              <w:t xml:space="preserve"> H, Nishihara E, Sasaki I, et al (2006). Four cases of Graves' disease which developed after painful Hashimoto's thyroiditis. Intern Med, 45(6): 385-9.</w:t>
            </w:r>
          </w:p>
        </w:tc>
      </w:tr>
      <w:tr w:rsidR="00270FBF" w14:paraId="5A638F49"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2DD26ED" w14:textId="77777777" w:rsidR="00270FBF" w:rsidRPr="00E92C22" w:rsidRDefault="00270FBF" w:rsidP="00270FBF">
            <w:pPr>
              <w:jc w:val="center"/>
              <w:rPr>
                <w:rFonts w:ascii="Calibri" w:hAnsi="Calibri" w:cs="Calibri"/>
              </w:rPr>
            </w:pPr>
            <w:r w:rsidRPr="00E92C22">
              <w:rPr>
                <w:rFonts w:ascii="Calibri" w:hAnsi="Calibri" w:cs="Calibri"/>
              </w:rPr>
              <w:t>14970</w:t>
            </w:r>
          </w:p>
        </w:tc>
        <w:tc>
          <w:tcPr>
            <w:tcW w:w="7371" w:type="dxa"/>
            <w:tcBorders>
              <w:top w:val="single" w:sz="4" w:space="0" w:color="auto"/>
              <w:left w:val="single" w:sz="4" w:space="0" w:color="auto"/>
              <w:bottom w:val="single" w:sz="4" w:space="0" w:color="auto"/>
              <w:right w:val="single" w:sz="4" w:space="0" w:color="auto"/>
            </w:tcBorders>
            <w:hideMark/>
          </w:tcPr>
          <w:p w14:paraId="092B3A2D" w14:textId="77777777" w:rsidR="00270FBF" w:rsidRPr="00E92C22" w:rsidRDefault="00270FBF" w:rsidP="00270FBF">
            <w:pPr>
              <w:rPr>
                <w:rFonts w:ascii="Calibri" w:hAnsi="Calibri" w:cs="Calibri"/>
              </w:rPr>
            </w:pPr>
            <w:r w:rsidRPr="00E92C22">
              <w:rPr>
                <w:rFonts w:ascii="Calibri" w:hAnsi="Calibri" w:cs="Calibri"/>
              </w:rPr>
              <w:t xml:space="preserve">Ong KK, Kuh D, Pierce M, et al (2013). Childhood weight gain and thyroid autoimmunity at age 60-64 years: the 1946 British birth cohort study. J Clin Endocrinol </w:t>
            </w:r>
            <w:proofErr w:type="spellStart"/>
            <w:r w:rsidRPr="00E92C22">
              <w:rPr>
                <w:rFonts w:ascii="Calibri" w:hAnsi="Calibri" w:cs="Calibri"/>
              </w:rPr>
              <w:t>Metab</w:t>
            </w:r>
            <w:proofErr w:type="spellEnd"/>
            <w:r w:rsidRPr="00E92C22">
              <w:rPr>
                <w:rFonts w:ascii="Calibri" w:hAnsi="Calibri" w:cs="Calibri"/>
              </w:rPr>
              <w:t>, 98(4): 1435-42.</w:t>
            </w:r>
          </w:p>
        </w:tc>
      </w:tr>
      <w:tr w:rsidR="00270FBF" w14:paraId="5CA095B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87CD38A" w14:textId="77777777" w:rsidR="00270FBF" w:rsidRPr="00E92C22" w:rsidRDefault="00270FBF" w:rsidP="00270FBF">
            <w:pPr>
              <w:jc w:val="center"/>
              <w:rPr>
                <w:rFonts w:ascii="Calibri" w:hAnsi="Calibri" w:cs="Calibri"/>
              </w:rPr>
            </w:pPr>
            <w:r w:rsidRPr="00E92C22">
              <w:rPr>
                <w:rFonts w:ascii="Calibri" w:hAnsi="Calibri" w:cs="Calibri"/>
              </w:rPr>
              <w:t>102707</w:t>
            </w:r>
          </w:p>
        </w:tc>
        <w:tc>
          <w:tcPr>
            <w:tcW w:w="7371" w:type="dxa"/>
            <w:tcBorders>
              <w:top w:val="single" w:sz="4" w:space="0" w:color="auto"/>
              <w:left w:val="single" w:sz="4" w:space="0" w:color="auto"/>
              <w:bottom w:val="single" w:sz="4" w:space="0" w:color="auto"/>
              <w:right w:val="single" w:sz="4" w:space="0" w:color="auto"/>
            </w:tcBorders>
            <w:hideMark/>
          </w:tcPr>
          <w:p w14:paraId="27CC1DD1" w14:textId="77777777" w:rsidR="00270FBF" w:rsidRPr="00E92C22" w:rsidRDefault="00270FBF" w:rsidP="00270FBF">
            <w:pPr>
              <w:rPr>
                <w:rFonts w:ascii="Calibri" w:hAnsi="Calibri" w:cs="Calibri"/>
              </w:rPr>
            </w:pPr>
            <w:r w:rsidRPr="00E92C22">
              <w:rPr>
                <w:rFonts w:ascii="Calibri" w:hAnsi="Calibri" w:cs="Calibri"/>
              </w:rPr>
              <w:t>Orlander PR (2021). Hypothyroidism clinical presentation. Retrieved 1 September 2021, from https://emedicine.medscape.com/article/122393-clinical</w:t>
            </w:r>
          </w:p>
        </w:tc>
      </w:tr>
      <w:tr w:rsidR="00270FBF" w14:paraId="0AAC2F7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79D8A6B" w14:textId="77777777" w:rsidR="00270FBF" w:rsidRPr="00E92C22" w:rsidRDefault="00270FBF" w:rsidP="00270FBF">
            <w:pPr>
              <w:jc w:val="center"/>
              <w:rPr>
                <w:rFonts w:ascii="Calibri" w:hAnsi="Calibri" w:cs="Calibri"/>
              </w:rPr>
            </w:pPr>
            <w:r w:rsidRPr="00E92C22">
              <w:rPr>
                <w:rFonts w:ascii="Calibri" w:hAnsi="Calibri" w:cs="Calibri"/>
              </w:rPr>
              <w:t>102812</w:t>
            </w:r>
          </w:p>
        </w:tc>
        <w:tc>
          <w:tcPr>
            <w:tcW w:w="7371" w:type="dxa"/>
            <w:tcBorders>
              <w:top w:val="single" w:sz="4" w:space="0" w:color="auto"/>
              <w:left w:val="single" w:sz="4" w:space="0" w:color="auto"/>
              <w:bottom w:val="single" w:sz="4" w:space="0" w:color="auto"/>
              <w:right w:val="single" w:sz="4" w:space="0" w:color="auto"/>
            </w:tcBorders>
            <w:hideMark/>
          </w:tcPr>
          <w:p w14:paraId="11D3F008" w14:textId="77777777" w:rsidR="00270FBF" w:rsidRPr="00E92C22" w:rsidRDefault="00270FBF" w:rsidP="00270FBF">
            <w:pPr>
              <w:rPr>
                <w:rFonts w:ascii="Calibri" w:hAnsi="Calibri" w:cs="Calibri"/>
              </w:rPr>
            </w:pPr>
            <w:r w:rsidRPr="006E1170">
              <w:rPr>
                <w:rFonts w:ascii="Calibri" w:hAnsi="Calibri" w:cs="Calibri"/>
                <w:lang w:val="de-DE"/>
              </w:rPr>
              <w:t xml:space="preserve">Osorio JC, Ni A, Chaft JE, et al (2017). </w:t>
            </w:r>
            <w:r w:rsidRPr="00E92C22">
              <w:rPr>
                <w:rFonts w:ascii="Calibri" w:hAnsi="Calibri" w:cs="Calibri"/>
              </w:rPr>
              <w:t>Antibody-mediated thyroid dysfunction during T-cell checkpoint blockade in patients with non-small-cell lung cancer. Ann Oncol, 28(3): 583-9.</w:t>
            </w:r>
          </w:p>
        </w:tc>
      </w:tr>
      <w:tr w:rsidR="00270FBF" w14:paraId="58A92F7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AA673F4" w14:textId="77777777" w:rsidR="00270FBF" w:rsidRPr="00E92C22" w:rsidRDefault="00270FBF" w:rsidP="00270FBF">
            <w:pPr>
              <w:jc w:val="center"/>
              <w:rPr>
                <w:rFonts w:ascii="Calibri" w:hAnsi="Calibri" w:cs="Calibri"/>
              </w:rPr>
            </w:pPr>
            <w:r w:rsidRPr="00E92C22">
              <w:rPr>
                <w:rFonts w:ascii="Calibri" w:hAnsi="Calibri" w:cs="Calibri"/>
              </w:rPr>
              <w:t>65895</w:t>
            </w:r>
          </w:p>
        </w:tc>
        <w:tc>
          <w:tcPr>
            <w:tcW w:w="7371" w:type="dxa"/>
            <w:tcBorders>
              <w:top w:val="single" w:sz="4" w:space="0" w:color="auto"/>
              <w:left w:val="single" w:sz="4" w:space="0" w:color="auto"/>
              <w:bottom w:val="single" w:sz="4" w:space="0" w:color="auto"/>
              <w:right w:val="single" w:sz="4" w:space="0" w:color="auto"/>
            </w:tcBorders>
            <w:hideMark/>
          </w:tcPr>
          <w:p w14:paraId="2EBB0B31" w14:textId="77777777" w:rsidR="00270FBF" w:rsidRPr="00E92C22" w:rsidRDefault="00270FBF" w:rsidP="00270FBF">
            <w:pPr>
              <w:rPr>
                <w:rFonts w:ascii="Calibri" w:hAnsi="Calibri" w:cs="Calibri"/>
              </w:rPr>
            </w:pPr>
            <w:r w:rsidRPr="006E1170">
              <w:rPr>
                <w:rFonts w:ascii="Calibri" w:hAnsi="Calibri" w:cs="Calibri"/>
                <w:lang w:val="de-DE"/>
              </w:rPr>
              <w:t xml:space="preserve">Ostroumova E, Brenner A, Oliynyk V, et al (2009). </w:t>
            </w:r>
            <w:r w:rsidRPr="00E92C22">
              <w:rPr>
                <w:rFonts w:ascii="Calibri" w:hAnsi="Calibri" w:cs="Calibri"/>
              </w:rPr>
              <w:t xml:space="preserve">Subclinical hypothyroidism after radioiodine exposure: Ukrainian-American cohort study of thyroid cancer and thyroid diseases after the Chornobyl accident (1998-2000). Environ Health </w:t>
            </w:r>
            <w:proofErr w:type="spellStart"/>
            <w:r w:rsidRPr="00E92C22">
              <w:rPr>
                <w:rFonts w:ascii="Calibri" w:hAnsi="Calibri" w:cs="Calibri"/>
              </w:rPr>
              <w:t>Perspect</w:t>
            </w:r>
            <w:proofErr w:type="spellEnd"/>
            <w:r w:rsidRPr="00E92C22">
              <w:rPr>
                <w:rFonts w:ascii="Calibri" w:hAnsi="Calibri" w:cs="Calibri"/>
              </w:rPr>
              <w:t>, 117(5): 745-50.</w:t>
            </w:r>
          </w:p>
        </w:tc>
      </w:tr>
      <w:tr w:rsidR="00270FBF" w14:paraId="51E24BA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D8DD751" w14:textId="77777777" w:rsidR="00270FBF" w:rsidRPr="00E92C22" w:rsidRDefault="00270FBF" w:rsidP="00270FBF">
            <w:pPr>
              <w:jc w:val="center"/>
              <w:rPr>
                <w:rFonts w:ascii="Calibri" w:hAnsi="Calibri" w:cs="Calibri"/>
              </w:rPr>
            </w:pPr>
            <w:r w:rsidRPr="00E92C22">
              <w:rPr>
                <w:rFonts w:ascii="Calibri" w:hAnsi="Calibri" w:cs="Calibri"/>
              </w:rPr>
              <w:t>14207</w:t>
            </w:r>
          </w:p>
        </w:tc>
        <w:tc>
          <w:tcPr>
            <w:tcW w:w="7371" w:type="dxa"/>
            <w:tcBorders>
              <w:top w:val="single" w:sz="4" w:space="0" w:color="auto"/>
              <w:left w:val="single" w:sz="4" w:space="0" w:color="auto"/>
              <w:bottom w:val="single" w:sz="4" w:space="0" w:color="auto"/>
              <w:right w:val="single" w:sz="4" w:space="0" w:color="auto"/>
            </w:tcBorders>
            <w:hideMark/>
          </w:tcPr>
          <w:p w14:paraId="758A3363" w14:textId="77777777" w:rsidR="00270FBF" w:rsidRPr="00E92C22" w:rsidRDefault="00270FBF" w:rsidP="00270FBF">
            <w:pPr>
              <w:rPr>
                <w:rFonts w:ascii="Calibri" w:hAnsi="Calibri" w:cs="Calibri"/>
              </w:rPr>
            </w:pPr>
            <w:proofErr w:type="spellStart"/>
            <w:r w:rsidRPr="00E92C22">
              <w:rPr>
                <w:rFonts w:ascii="Calibri" w:hAnsi="Calibri" w:cs="Calibri"/>
              </w:rPr>
              <w:t>Ostroumova</w:t>
            </w:r>
            <w:proofErr w:type="spellEnd"/>
            <w:r w:rsidRPr="00E92C22">
              <w:rPr>
                <w:rFonts w:ascii="Calibri" w:hAnsi="Calibri" w:cs="Calibri"/>
              </w:rPr>
              <w:t xml:space="preserve"> E, Rozhko A, Hatch M, et al (2013). Measures of thyroid function among Belarusian children and adolescents exposed to iodine-131 from the accident at the Chernobyl nuclear plant. Environ Health </w:t>
            </w:r>
            <w:proofErr w:type="spellStart"/>
            <w:r w:rsidRPr="00E92C22">
              <w:rPr>
                <w:rFonts w:ascii="Calibri" w:hAnsi="Calibri" w:cs="Calibri"/>
              </w:rPr>
              <w:t>Perspect</w:t>
            </w:r>
            <w:proofErr w:type="spellEnd"/>
            <w:r w:rsidRPr="00E92C22">
              <w:rPr>
                <w:rFonts w:ascii="Calibri" w:hAnsi="Calibri" w:cs="Calibri"/>
              </w:rPr>
              <w:t>, 121(7): 865-71.</w:t>
            </w:r>
          </w:p>
        </w:tc>
      </w:tr>
      <w:tr w:rsidR="00270FBF" w14:paraId="0158BFE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17C6AA1" w14:textId="77777777" w:rsidR="00270FBF" w:rsidRPr="00E92C22" w:rsidRDefault="00270FBF" w:rsidP="00270FBF">
            <w:pPr>
              <w:jc w:val="center"/>
              <w:rPr>
                <w:rFonts w:ascii="Calibri" w:hAnsi="Calibri" w:cs="Calibri"/>
              </w:rPr>
            </w:pPr>
            <w:r w:rsidRPr="00E92C22">
              <w:rPr>
                <w:rFonts w:ascii="Calibri" w:hAnsi="Calibri" w:cs="Calibri"/>
              </w:rPr>
              <w:t>57458</w:t>
            </w:r>
          </w:p>
        </w:tc>
        <w:tc>
          <w:tcPr>
            <w:tcW w:w="7371" w:type="dxa"/>
            <w:tcBorders>
              <w:top w:val="single" w:sz="4" w:space="0" w:color="auto"/>
              <w:left w:val="single" w:sz="4" w:space="0" w:color="auto"/>
              <w:bottom w:val="single" w:sz="4" w:space="0" w:color="auto"/>
              <w:right w:val="single" w:sz="4" w:space="0" w:color="auto"/>
            </w:tcBorders>
            <w:hideMark/>
          </w:tcPr>
          <w:p w14:paraId="4D138817" w14:textId="77777777" w:rsidR="00270FBF" w:rsidRPr="00E92C22" w:rsidRDefault="00270FBF" w:rsidP="00270FBF">
            <w:pPr>
              <w:rPr>
                <w:rFonts w:ascii="Calibri" w:hAnsi="Calibri" w:cs="Calibri"/>
              </w:rPr>
            </w:pPr>
            <w:r w:rsidRPr="00E92C22">
              <w:rPr>
                <w:rFonts w:ascii="Calibri" w:hAnsi="Calibri" w:cs="Calibri"/>
              </w:rPr>
              <w:t>O'Toole BI, Catts SV, Outram S, et al (2009). The physical and mental health of Australian Vietnam veterans 3 decades after the war and its relation to military service, combat, and post-traumatic stress disorder. Am J Epidemiol, 170(3): 318-30.</w:t>
            </w:r>
          </w:p>
        </w:tc>
      </w:tr>
      <w:tr w:rsidR="00270FBF" w14:paraId="0966BBA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4C61FA9" w14:textId="77777777" w:rsidR="00270FBF" w:rsidRPr="00E92C22" w:rsidRDefault="00270FBF" w:rsidP="00270FBF">
            <w:pPr>
              <w:jc w:val="center"/>
              <w:rPr>
                <w:rFonts w:ascii="Calibri" w:hAnsi="Calibri" w:cs="Calibri"/>
              </w:rPr>
            </w:pPr>
            <w:r w:rsidRPr="00E92C22">
              <w:rPr>
                <w:rFonts w:ascii="Calibri" w:hAnsi="Calibri" w:cs="Calibri"/>
              </w:rPr>
              <w:t>65368</w:t>
            </w:r>
          </w:p>
        </w:tc>
        <w:tc>
          <w:tcPr>
            <w:tcW w:w="7371" w:type="dxa"/>
            <w:tcBorders>
              <w:top w:val="single" w:sz="4" w:space="0" w:color="auto"/>
              <w:left w:val="single" w:sz="4" w:space="0" w:color="auto"/>
              <w:bottom w:val="single" w:sz="4" w:space="0" w:color="auto"/>
              <w:right w:val="single" w:sz="4" w:space="0" w:color="auto"/>
            </w:tcBorders>
            <w:hideMark/>
          </w:tcPr>
          <w:p w14:paraId="7FB97913" w14:textId="77777777" w:rsidR="00270FBF" w:rsidRPr="00E92C22" w:rsidRDefault="00270FBF" w:rsidP="00270FBF">
            <w:pPr>
              <w:rPr>
                <w:rFonts w:ascii="Calibri" w:hAnsi="Calibri" w:cs="Calibri"/>
              </w:rPr>
            </w:pPr>
            <w:r w:rsidRPr="006E1170">
              <w:rPr>
                <w:rFonts w:ascii="Calibri" w:hAnsi="Calibri" w:cs="Calibri"/>
                <w:lang w:val="de-DE"/>
              </w:rPr>
              <w:t xml:space="preserve">Ott J, Aust S, Kurz C, et al (2010). </w:t>
            </w:r>
            <w:r w:rsidRPr="00E92C22">
              <w:rPr>
                <w:rFonts w:ascii="Calibri" w:hAnsi="Calibri" w:cs="Calibri"/>
              </w:rPr>
              <w:t>Elevated antithyroid peroxidase antibodies indicating Hashimoto's thyroiditis are associated with the treatment response in infertile women with polycystic ovary syndrome. Fertil Steril, 94(7): 2895-7.</w:t>
            </w:r>
          </w:p>
        </w:tc>
      </w:tr>
      <w:tr w:rsidR="00270FBF" w14:paraId="3D66B22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53A935F" w14:textId="77777777" w:rsidR="00270FBF" w:rsidRPr="00E92C22" w:rsidRDefault="00270FBF" w:rsidP="00270FBF">
            <w:pPr>
              <w:jc w:val="center"/>
              <w:rPr>
                <w:rFonts w:ascii="Calibri" w:hAnsi="Calibri" w:cs="Calibri"/>
              </w:rPr>
            </w:pPr>
            <w:r w:rsidRPr="00E92C22">
              <w:rPr>
                <w:rFonts w:ascii="Calibri" w:hAnsi="Calibri" w:cs="Calibri"/>
              </w:rPr>
              <w:t>70194</w:t>
            </w:r>
          </w:p>
        </w:tc>
        <w:tc>
          <w:tcPr>
            <w:tcW w:w="7371" w:type="dxa"/>
            <w:tcBorders>
              <w:top w:val="single" w:sz="4" w:space="0" w:color="auto"/>
              <w:left w:val="single" w:sz="4" w:space="0" w:color="auto"/>
              <w:bottom w:val="single" w:sz="4" w:space="0" w:color="auto"/>
              <w:right w:val="single" w:sz="4" w:space="0" w:color="auto"/>
            </w:tcBorders>
            <w:hideMark/>
          </w:tcPr>
          <w:p w14:paraId="73346DD6" w14:textId="77777777" w:rsidR="00270FBF" w:rsidRPr="00E92C22" w:rsidRDefault="00270FBF" w:rsidP="00270FBF">
            <w:pPr>
              <w:rPr>
                <w:rFonts w:ascii="Calibri" w:hAnsi="Calibri" w:cs="Calibri"/>
              </w:rPr>
            </w:pPr>
            <w:proofErr w:type="spellStart"/>
            <w:r w:rsidRPr="00E92C22">
              <w:rPr>
                <w:rFonts w:ascii="Calibri" w:hAnsi="Calibri" w:cs="Calibri"/>
              </w:rPr>
              <w:t>Ozasa</w:t>
            </w:r>
            <w:proofErr w:type="spellEnd"/>
            <w:r w:rsidRPr="00E92C22">
              <w:rPr>
                <w:rFonts w:ascii="Calibri" w:hAnsi="Calibri" w:cs="Calibri"/>
              </w:rPr>
              <w:t xml:space="preserve"> K, Shimizu Y, Suyama A, et al (2012). Studies of the mortality of atomic bomb survivors, Report 14, 1950-2003: an overview of cancer and noncancer diseases. </w:t>
            </w:r>
            <w:proofErr w:type="spellStart"/>
            <w:r w:rsidRPr="00E92C22">
              <w:rPr>
                <w:rFonts w:ascii="Calibri" w:hAnsi="Calibri" w:cs="Calibri"/>
              </w:rPr>
              <w:t>Radiat</w:t>
            </w:r>
            <w:proofErr w:type="spellEnd"/>
            <w:r w:rsidRPr="00E92C22">
              <w:rPr>
                <w:rFonts w:ascii="Calibri" w:hAnsi="Calibri" w:cs="Calibri"/>
              </w:rPr>
              <w:t xml:space="preserve"> Res, 177(3): 229-43; Erratum: 179(4): e40-1.</w:t>
            </w:r>
          </w:p>
        </w:tc>
      </w:tr>
      <w:tr w:rsidR="00270FBF" w14:paraId="27161FA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CCCB3F" w14:textId="77777777" w:rsidR="00270FBF" w:rsidRPr="00E92C22" w:rsidRDefault="00270FBF" w:rsidP="00270FBF">
            <w:pPr>
              <w:jc w:val="center"/>
              <w:rPr>
                <w:rFonts w:ascii="Calibri" w:hAnsi="Calibri" w:cs="Calibri"/>
              </w:rPr>
            </w:pPr>
            <w:r w:rsidRPr="00E92C22">
              <w:rPr>
                <w:rFonts w:ascii="Calibri" w:hAnsi="Calibri" w:cs="Calibri"/>
              </w:rPr>
              <w:t>102372</w:t>
            </w:r>
          </w:p>
        </w:tc>
        <w:tc>
          <w:tcPr>
            <w:tcW w:w="7371" w:type="dxa"/>
            <w:tcBorders>
              <w:top w:val="single" w:sz="4" w:space="0" w:color="auto"/>
              <w:left w:val="single" w:sz="4" w:space="0" w:color="auto"/>
              <w:bottom w:val="single" w:sz="4" w:space="0" w:color="auto"/>
              <w:right w:val="single" w:sz="4" w:space="0" w:color="auto"/>
            </w:tcBorders>
            <w:hideMark/>
          </w:tcPr>
          <w:p w14:paraId="769E0441" w14:textId="77777777" w:rsidR="00270FBF" w:rsidRPr="00E92C22" w:rsidRDefault="00270FBF" w:rsidP="00270FBF">
            <w:pPr>
              <w:rPr>
                <w:rFonts w:ascii="Calibri" w:hAnsi="Calibri" w:cs="Calibri"/>
              </w:rPr>
            </w:pPr>
            <w:r w:rsidRPr="00E92C22">
              <w:rPr>
                <w:rFonts w:ascii="Calibri" w:hAnsi="Calibri" w:cs="Calibri"/>
              </w:rPr>
              <w:t xml:space="preserve">Page C, </w:t>
            </w:r>
            <w:proofErr w:type="spellStart"/>
            <w:r w:rsidRPr="00E92C22">
              <w:rPr>
                <w:rFonts w:ascii="Calibri" w:hAnsi="Calibri" w:cs="Calibri"/>
              </w:rPr>
              <w:t>Duverlie</w:t>
            </w:r>
            <w:proofErr w:type="spellEnd"/>
            <w:r w:rsidRPr="00E92C22">
              <w:rPr>
                <w:rFonts w:ascii="Calibri" w:hAnsi="Calibri" w:cs="Calibri"/>
              </w:rPr>
              <w:t xml:space="preserve"> G, </w:t>
            </w:r>
            <w:proofErr w:type="spellStart"/>
            <w:r w:rsidRPr="00E92C22">
              <w:rPr>
                <w:rFonts w:ascii="Calibri" w:hAnsi="Calibri" w:cs="Calibri"/>
              </w:rPr>
              <w:t>Sevestre</w:t>
            </w:r>
            <w:proofErr w:type="spellEnd"/>
            <w:r w:rsidRPr="00E92C22">
              <w:rPr>
                <w:rFonts w:ascii="Calibri" w:hAnsi="Calibri" w:cs="Calibri"/>
              </w:rPr>
              <w:t xml:space="preserve"> H, et al (2015). </w:t>
            </w:r>
            <w:proofErr w:type="spellStart"/>
            <w:r w:rsidRPr="00E92C22">
              <w:rPr>
                <w:rFonts w:ascii="Calibri" w:hAnsi="Calibri" w:cs="Calibri"/>
              </w:rPr>
              <w:t>Erythrovirus</w:t>
            </w:r>
            <w:proofErr w:type="spellEnd"/>
            <w:r w:rsidRPr="00E92C22">
              <w:rPr>
                <w:rFonts w:ascii="Calibri" w:hAnsi="Calibri" w:cs="Calibri"/>
              </w:rPr>
              <w:t xml:space="preserve"> B19 and autoimmune thyroid diseases. Review of the literature and pathophysiological hypotheses. J Med </w:t>
            </w:r>
            <w:proofErr w:type="spellStart"/>
            <w:r w:rsidRPr="00E92C22">
              <w:rPr>
                <w:rFonts w:ascii="Calibri" w:hAnsi="Calibri" w:cs="Calibri"/>
              </w:rPr>
              <w:t>Virol</w:t>
            </w:r>
            <w:proofErr w:type="spellEnd"/>
            <w:r w:rsidRPr="00E92C22">
              <w:rPr>
                <w:rFonts w:ascii="Calibri" w:hAnsi="Calibri" w:cs="Calibri"/>
              </w:rPr>
              <w:t>, 87(1): 162-9.</w:t>
            </w:r>
          </w:p>
        </w:tc>
      </w:tr>
      <w:tr w:rsidR="00270FBF" w14:paraId="1BED158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6CA4FF9" w14:textId="77777777" w:rsidR="00270FBF" w:rsidRPr="00E92C22" w:rsidRDefault="00270FBF" w:rsidP="00270FBF">
            <w:pPr>
              <w:jc w:val="center"/>
              <w:rPr>
                <w:rFonts w:ascii="Calibri" w:hAnsi="Calibri" w:cs="Calibri"/>
              </w:rPr>
            </w:pPr>
            <w:r w:rsidRPr="00E92C22">
              <w:rPr>
                <w:rFonts w:ascii="Calibri" w:hAnsi="Calibri" w:cs="Calibri"/>
              </w:rPr>
              <w:t>102519</w:t>
            </w:r>
          </w:p>
        </w:tc>
        <w:tc>
          <w:tcPr>
            <w:tcW w:w="7371" w:type="dxa"/>
            <w:tcBorders>
              <w:top w:val="single" w:sz="4" w:space="0" w:color="auto"/>
              <w:left w:val="single" w:sz="4" w:space="0" w:color="auto"/>
              <w:bottom w:val="single" w:sz="4" w:space="0" w:color="auto"/>
              <w:right w:val="single" w:sz="4" w:space="0" w:color="auto"/>
            </w:tcBorders>
            <w:hideMark/>
          </w:tcPr>
          <w:p w14:paraId="6A6ABD4D" w14:textId="77777777" w:rsidR="00270FBF" w:rsidRPr="00E92C22" w:rsidRDefault="00270FBF" w:rsidP="00270FBF">
            <w:pPr>
              <w:rPr>
                <w:rFonts w:ascii="Calibri" w:hAnsi="Calibri" w:cs="Calibri"/>
              </w:rPr>
            </w:pPr>
            <w:r w:rsidRPr="00E92C22">
              <w:rPr>
                <w:rFonts w:ascii="Calibri" w:hAnsi="Calibri" w:cs="Calibri"/>
              </w:rPr>
              <w:t xml:space="preserve">Pani F, Atzori F, </w:t>
            </w:r>
            <w:proofErr w:type="spellStart"/>
            <w:r w:rsidRPr="00E92C22">
              <w:rPr>
                <w:rFonts w:ascii="Calibri" w:hAnsi="Calibri" w:cs="Calibri"/>
              </w:rPr>
              <w:t>Baghino</w:t>
            </w:r>
            <w:proofErr w:type="spellEnd"/>
            <w:r w:rsidRPr="00E92C22">
              <w:rPr>
                <w:rFonts w:ascii="Calibri" w:hAnsi="Calibri" w:cs="Calibri"/>
              </w:rPr>
              <w:t xml:space="preserve"> G, et al (2015). Thyroid dysfunction in patients with metastatic carcinoma treated with sunitinib: Is thyroid autoimmunity involved? Thyroid, 25(11): 1255-61.</w:t>
            </w:r>
          </w:p>
        </w:tc>
      </w:tr>
      <w:tr w:rsidR="00270FBF" w14:paraId="61D5534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15ECA3B" w14:textId="77777777" w:rsidR="00270FBF" w:rsidRPr="00E92C22" w:rsidRDefault="00270FBF" w:rsidP="00270FBF">
            <w:pPr>
              <w:jc w:val="center"/>
              <w:rPr>
                <w:rFonts w:ascii="Calibri" w:hAnsi="Calibri" w:cs="Calibri"/>
              </w:rPr>
            </w:pPr>
            <w:r w:rsidRPr="00E92C22">
              <w:rPr>
                <w:rFonts w:ascii="Calibri" w:hAnsi="Calibri" w:cs="Calibri"/>
              </w:rPr>
              <w:t>66206</w:t>
            </w:r>
          </w:p>
        </w:tc>
        <w:tc>
          <w:tcPr>
            <w:tcW w:w="7371" w:type="dxa"/>
            <w:tcBorders>
              <w:top w:val="single" w:sz="4" w:space="0" w:color="auto"/>
              <w:left w:val="single" w:sz="4" w:space="0" w:color="auto"/>
              <w:bottom w:val="single" w:sz="4" w:space="0" w:color="auto"/>
              <w:right w:val="single" w:sz="4" w:space="0" w:color="auto"/>
            </w:tcBorders>
            <w:hideMark/>
          </w:tcPr>
          <w:p w14:paraId="5C812780" w14:textId="77777777" w:rsidR="00270FBF" w:rsidRPr="00E92C22" w:rsidRDefault="00270FBF" w:rsidP="00270FBF">
            <w:pPr>
              <w:rPr>
                <w:rFonts w:ascii="Calibri" w:hAnsi="Calibri" w:cs="Calibri"/>
              </w:rPr>
            </w:pPr>
            <w:r w:rsidRPr="006E1170">
              <w:rPr>
                <w:rFonts w:ascii="Calibri" w:hAnsi="Calibri" w:cs="Calibri"/>
                <w:lang w:val="de-DE"/>
              </w:rPr>
              <w:t xml:space="preserve">Papanastasiou L, Vatalas IA, Koutras DA, et al (2007). </w:t>
            </w:r>
            <w:r w:rsidRPr="00E92C22">
              <w:rPr>
                <w:rFonts w:ascii="Calibri" w:hAnsi="Calibri" w:cs="Calibri"/>
              </w:rPr>
              <w:t>Thyroid autoimmunity in the current iodine environment. Thyroid, 17(8): 729-39.</w:t>
            </w:r>
          </w:p>
        </w:tc>
      </w:tr>
      <w:tr w:rsidR="00270FBF" w14:paraId="3125AAA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FE7EB2F" w14:textId="77777777" w:rsidR="00270FBF" w:rsidRPr="00E92C22" w:rsidRDefault="00270FBF" w:rsidP="00270FBF">
            <w:pPr>
              <w:jc w:val="center"/>
              <w:rPr>
                <w:rFonts w:ascii="Calibri" w:hAnsi="Calibri" w:cs="Calibri"/>
              </w:rPr>
            </w:pPr>
            <w:r w:rsidRPr="00E92C22">
              <w:rPr>
                <w:rFonts w:ascii="Calibri" w:hAnsi="Calibri" w:cs="Calibri"/>
              </w:rPr>
              <w:t>99480</w:t>
            </w:r>
          </w:p>
        </w:tc>
        <w:tc>
          <w:tcPr>
            <w:tcW w:w="7371" w:type="dxa"/>
            <w:tcBorders>
              <w:top w:val="single" w:sz="4" w:space="0" w:color="auto"/>
              <w:left w:val="single" w:sz="4" w:space="0" w:color="auto"/>
              <w:bottom w:val="single" w:sz="4" w:space="0" w:color="auto"/>
              <w:right w:val="single" w:sz="4" w:space="0" w:color="auto"/>
            </w:tcBorders>
            <w:hideMark/>
          </w:tcPr>
          <w:p w14:paraId="0F364C9C" w14:textId="77777777" w:rsidR="00270FBF" w:rsidRPr="00E92C22" w:rsidRDefault="00270FBF" w:rsidP="00270FBF">
            <w:pPr>
              <w:rPr>
                <w:rFonts w:ascii="Calibri" w:hAnsi="Calibri" w:cs="Calibri"/>
              </w:rPr>
            </w:pPr>
            <w:r w:rsidRPr="00E92C22">
              <w:rPr>
                <w:rFonts w:ascii="Calibri" w:hAnsi="Calibri" w:cs="Calibri"/>
              </w:rPr>
              <w:t xml:space="preserve">Papi G, Corsello SM, </w:t>
            </w:r>
            <w:proofErr w:type="spellStart"/>
            <w:r w:rsidRPr="00E92C22">
              <w:rPr>
                <w:rFonts w:ascii="Calibri" w:hAnsi="Calibri" w:cs="Calibri"/>
              </w:rPr>
              <w:t>Pontecorvi</w:t>
            </w:r>
            <w:proofErr w:type="spellEnd"/>
            <w:r w:rsidRPr="00E92C22">
              <w:rPr>
                <w:rFonts w:ascii="Calibri" w:hAnsi="Calibri" w:cs="Calibri"/>
              </w:rPr>
              <w:t xml:space="preserve"> A (2014). Clinical concepts on thyroid emergencies. Front Endocrinol (Lausanne), 5: 102.</w:t>
            </w:r>
          </w:p>
        </w:tc>
      </w:tr>
      <w:tr w:rsidR="00270FBF" w14:paraId="44167D8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D119CEC" w14:textId="77777777" w:rsidR="00270FBF" w:rsidRPr="00E92C22" w:rsidRDefault="00270FBF" w:rsidP="00270FBF">
            <w:pPr>
              <w:jc w:val="center"/>
              <w:rPr>
                <w:rFonts w:ascii="Calibri" w:hAnsi="Calibri" w:cs="Calibri"/>
              </w:rPr>
            </w:pPr>
            <w:r w:rsidRPr="00E92C22">
              <w:rPr>
                <w:rFonts w:ascii="Calibri" w:hAnsi="Calibri" w:cs="Calibri"/>
              </w:rPr>
              <w:t>80756</w:t>
            </w:r>
          </w:p>
        </w:tc>
        <w:tc>
          <w:tcPr>
            <w:tcW w:w="7371" w:type="dxa"/>
            <w:tcBorders>
              <w:top w:val="single" w:sz="4" w:space="0" w:color="auto"/>
              <w:left w:val="single" w:sz="4" w:space="0" w:color="auto"/>
              <w:bottom w:val="single" w:sz="4" w:space="0" w:color="auto"/>
              <w:right w:val="single" w:sz="4" w:space="0" w:color="auto"/>
            </w:tcBorders>
            <w:hideMark/>
          </w:tcPr>
          <w:p w14:paraId="77BDB6B0" w14:textId="77777777" w:rsidR="00270FBF" w:rsidRPr="00E92C22" w:rsidRDefault="00270FBF" w:rsidP="00270FBF">
            <w:pPr>
              <w:rPr>
                <w:rFonts w:ascii="Calibri" w:hAnsi="Calibri" w:cs="Calibri"/>
              </w:rPr>
            </w:pPr>
            <w:r w:rsidRPr="00E92C22">
              <w:rPr>
                <w:rFonts w:ascii="Calibri" w:hAnsi="Calibri" w:cs="Calibri"/>
              </w:rPr>
              <w:t>Paquet F, Etherington G, Bailey MR, et al (2015). Occupational Intakes of Radionuclides: Part 1. Annals of the ICRP, ICRP Publication 130, Sage Publications Inc.</w:t>
            </w:r>
          </w:p>
        </w:tc>
      </w:tr>
      <w:tr w:rsidR="00270FBF" w14:paraId="38B9BA9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DDAFDDC" w14:textId="77777777" w:rsidR="00270FBF" w:rsidRPr="00E92C22" w:rsidRDefault="00270FBF" w:rsidP="00270FBF">
            <w:pPr>
              <w:jc w:val="center"/>
              <w:rPr>
                <w:rFonts w:ascii="Calibri" w:hAnsi="Calibri" w:cs="Calibri"/>
              </w:rPr>
            </w:pPr>
            <w:r w:rsidRPr="00E92C22">
              <w:rPr>
                <w:rFonts w:ascii="Calibri" w:hAnsi="Calibri" w:cs="Calibri"/>
              </w:rPr>
              <w:t>103525</w:t>
            </w:r>
          </w:p>
        </w:tc>
        <w:tc>
          <w:tcPr>
            <w:tcW w:w="7371" w:type="dxa"/>
            <w:tcBorders>
              <w:top w:val="single" w:sz="4" w:space="0" w:color="auto"/>
              <w:left w:val="single" w:sz="4" w:space="0" w:color="auto"/>
              <w:bottom w:val="single" w:sz="4" w:space="0" w:color="auto"/>
              <w:right w:val="single" w:sz="4" w:space="0" w:color="auto"/>
            </w:tcBorders>
            <w:hideMark/>
          </w:tcPr>
          <w:p w14:paraId="4549BBE3" w14:textId="77777777" w:rsidR="00270FBF" w:rsidRPr="00E92C22" w:rsidRDefault="00270FBF" w:rsidP="00270FBF">
            <w:pPr>
              <w:rPr>
                <w:rFonts w:ascii="Calibri" w:hAnsi="Calibri" w:cs="Calibri"/>
              </w:rPr>
            </w:pPr>
            <w:r w:rsidRPr="006E1170">
              <w:rPr>
                <w:rFonts w:ascii="Calibri" w:hAnsi="Calibri" w:cs="Calibri"/>
                <w:lang w:val="de-DE"/>
              </w:rPr>
              <w:t xml:space="preserve">Paschou SA, Stefanaki K, Psaltopoulou T, et al (2021). </w:t>
            </w:r>
            <w:r w:rsidRPr="00E92C22">
              <w:rPr>
                <w:rFonts w:ascii="Calibri" w:hAnsi="Calibri" w:cs="Calibri"/>
              </w:rPr>
              <w:t>How we treat endocrine complications of immune checkpoint inhibitors. ESMO Open, 6(1): 100011.</w:t>
            </w:r>
          </w:p>
        </w:tc>
      </w:tr>
      <w:tr w:rsidR="00270FBF" w14:paraId="40F6DB6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8375B57" w14:textId="77777777" w:rsidR="00270FBF" w:rsidRPr="00E92C22" w:rsidRDefault="00270FBF" w:rsidP="00270FBF">
            <w:pPr>
              <w:jc w:val="center"/>
              <w:rPr>
                <w:rFonts w:ascii="Calibri" w:hAnsi="Calibri" w:cs="Calibri"/>
              </w:rPr>
            </w:pPr>
            <w:r w:rsidRPr="00E92C22">
              <w:rPr>
                <w:rFonts w:ascii="Calibri" w:hAnsi="Calibri" w:cs="Calibri"/>
              </w:rPr>
              <w:t>67072</w:t>
            </w:r>
          </w:p>
        </w:tc>
        <w:tc>
          <w:tcPr>
            <w:tcW w:w="7371" w:type="dxa"/>
            <w:tcBorders>
              <w:top w:val="single" w:sz="4" w:space="0" w:color="auto"/>
              <w:left w:val="single" w:sz="4" w:space="0" w:color="auto"/>
              <w:bottom w:val="single" w:sz="4" w:space="0" w:color="auto"/>
              <w:right w:val="single" w:sz="4" w:space="0" w:color="auto"/>
            </w:tcBorders>
            <w:hideMark/>
          </w:tcPr>
          <w:p w14:paraId="0EB7EC74" w14:textId="77777777" w:rsidR="00270FBF" w:rsidRPr="00E92C22" w:rsidRDefault="00270FBF" w:rsidP="00270FBF">
            <w:pPr>
              <w:rPr>
                <w:rFonts w:ascii="Calibri" w:hAnsi="Calibri" w:cs="Calibri"/>
              </w:rPr>
            </w:pPr>
            <w:r w:rsidRPr="00E92C22">
              <w:rPr>
                <w:rFonts w:ascii="Calibri" w:hAnsi="Calibri" w:cs="Calibri"/>
              </w:rPr>
              <w:t>Patrick L (2009). Thyroid disruption: mechanism and clinical implications in human health. Altern Med Rev, 14(4): 326-46.</w:t>
            </w:r>
          </w:p>
        </w:tc>
      </w:tr>
      <w:tr w:rsidR="00270FBF" w14:paraId="4C09CE4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94CFB21" w14:textId="77777777" w:rsidR="00270FBF" w:rsidRPr="00E92C22" w:rsidRDefault="00270FBF" w:rsidP="00270FBF">
            <w:pPr>
              <w:jc w:val="center"/>
              <w:rPr>
                <w:rFonts w:ascii="Calibri" w:hAnsi="Calibri" w:cs="Calibri"/>
              </w:rPr>
            </w:pPr>
            <w:r w:rsidRPr="00E92C22">
              <w:rPr>
                <w:rFonts w:ascii="Calibri" w:hAnsi="Calibri" w:cs="Calibri"/>
              </w:rPr>
              <w:lastRenderedPageBreak/>
              <w:t>64889</w:t>
            </w:r>
          </w:p>
        </w:tc>
        <w:tc>
          <w:tcPr>
            <w:tcW w:w="7371" w:type="dxa"/>
            <w:tcBorders>
              <w:top w:val="single" w:sz="4" w:space="0" w:color="auto"/>
              <w:left w:val="single" w:sz="4" w:space="0" w:color="auto"/>
              <w:bottom w:val="single" w:sz="4" w:space="0" w:color="auto"/>
              <w:right w:val="single" w:sz="4" w:space="0" w:color="auto"/>
            </w:tcBorders>
            <w:hideMark/>
          </w:tcPr>
          <w:p w14:paraId="794AF79A" w14:textId="77777777" w:rsidR="00270FBF" w:rsidRPr="00E92C22" w:rsidRDefault="00270FBF" w:rsidP="00270FBF">
            <w:pPr>
              <w:rPr>
                <w:rFonts w:ascii="Calibri" w:hAnsi="Calibri" w:cs="Calibri"/>
              </w:rPr>
            </w:pPr>
            <w:r w:rsidRPr="00E92C22">
              <w:rPr>
                <w:rFonts w:ascii="Calibri" w:hAnsi="Calibri" w:cs="Calibri"/>
              </w:rPr>
              <w:t xml:space="preserve">Pauwels EK, Smit WA, Slats A, et al (2000). Health effects of therapeutic use of 131I in hyperthyroidism. Q J </w:t>
            </w:r>
            <w:proofErr w:type="spellStart"/>
            <w:r w:rsidRPr="00E92C22">
              <w:rPr>
                <w:rFonts w:ascii="Calibri" w:hAnsi="Calibri" w:cs="Calibri"/>
              </w:rPr>
              <w:t>Nucl</w:t>
            </w:r>
            <w:proofErr w:type="spellEnd"/>
            <w:r w:rsidRPr="00E92C22">
              <w:rPr>
                <w:rFonts w:ascii="Calibri" w:hAnsi="Calibri" w:cs="Calibri"/>
              </w:rPr>
              <w:t xml:space="preserve"> Med, 44(4): 333-9.</w:t>
            </w:r>
          </w:p>
        </w:tc>
      </w:tr>
      <w:tr w:rsidR="00270FBF" w14:paraId="47389EC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F3A381B" w14:textId="77777777" w:rsidR="00270FBF" w:rsidRPr="00E92C22" w:rsidRDefault="00270FBF" w:rsidP="00270FBF">
            <w:pPr>
              <w:jc w:val="center"/>
              <w:rPr>
                <w:rFonts w:ascii="Calibri" w:hAnsi="Calibri" w:cs="Calibri"/>
              </w:rPr>
            </w:pPr>
            <w:r w:rsidRPr="00E92C22">
              <w:rPr>
                <w:rFonts w:ascii="Calibri" w:hAnsi="Calibri" w:cs="Calibri"/>
              </w:rPr>
              <w:t>65347</w:t>
            </w:r>
          </w:p>
        </w:tc>
        <w:tc>
          <w:tcPr>
            <w:tcW w:w="7371" w:type="dxa"/>
            <w:tcBorders>
              <w:top w:val="single" w:sz="4" w:space="0" w:color="auto"/>
              <w:left w:val="single" w:sz="4" w:space="0" w:color="auto"/>
              <w:bottom w:val="single" w:sz="4" w:space="0" w:color="auto"/>
              <w:right w:val="single" w:sz="4" w:space="0" w:color="auto"/>
            </w:tcBorders>
            <w:hideMark/>
          </w:tcPr>
          <w:p w14:paraId="678728E4" w14:textId="77777777" w:rsidR="00270FBF" w:rsidRPr="00E92C22" w:rsidRDefault="00270FBF" w:rsidP="00270FBF">
            <w:pPr>
              <w:rPr>
                <w:rFonts w:ascii="Calibri" w:hAnsi="Calibri" w:cs="Calibri"/>
              </w:rPr>
            </w:pPr>
            <w:r w:rsidRPr="00E92C22">
              <w:rPr>
                <w:rFonts w:ascii="Calibri" w:hAnsi="Calibri" w:cs="Calibri"/>
              </w:rPr>
              <w:t>Pavuk M, Schecter AJ, Akhtar FZ, et al (2003). Serum 2,3,7,8-tetrachlorodibenzo-p-dioxin (TCDD) levels and thyroid function in Air Force veterans of the Vietnam War. Ann Epidemiol, 13(5): 335-43.</w:t>
            </w:r>
          </w:p>
        </w:tc>
      </w:tr>
      <w:tr w:rsidR="00270FBF" w14:paraId="7B42640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230EE7F" w14:textId="77777777" w:rsidR="00270FBF" w:rsidRPr="00E92C22" w:rsidRDefault="00270FBF" w:rsidP="00270FBF">
            <w:pPr>
              <w:jc w:val="center"/>
              <w:rPr>
                <w:rFonts w:ascii="Calibri" w:hAnsi="Calibri" w:cs="Calibri"/>
              </w:rPr>
            </w:pPr>
            <w:r w:rsidRPr="00E92C22">
              <w:rPr>
                <w:rFonts w:ascii="Calibri" w:hAnsi="Calibri" w:cs="Calibri"/>
              </w:rPr>
              <w:t>65355</w:t>
            </w:r>
          </w:p>
        </w:tc>
        <w:tc>
          <w:tcPr>
            <w:tcW w:w="7371" w:type="dxa"/>
            <w:tcBorders>
              <w:top w:val="single" w:sz="4" w:space="0" w:color="auto"/>
              <w:left w:val="single" w:sz="4" w:space="0" w:color="auto"/>
              <w:bottom w:val="single" w:sz="4" w:space="0" w:color="auto"/>
              <w:right w:val="single" w:sz="4" w:space="0" w:color="auto"/>
            </w:tcBorders>
            <w:hideMark/>
          </w:tcPr>
          <w:p w14:paraId="0A3A57AE" w14:textId="77777777" w:rsidR="00270FBF" w:rsidRPr="00E92C22" w:rsidRDefault="00270FBF" w:rsidP="00270FBF">
            <w:pPr>
              <w:rPr>
                <w:rFonts w:ascii="Calibri" w:hAnsi="Calibri" w:cs="Calibri"/>
              </w:rPr>
            </w:pPr>
            <w:r w:rsidRPr="00E92C22">
              <w:rPr>
                <w:rFonts w:ascii="Calibri" w:hAnsi="Calibri" w:cs="Calibri"/>
              </w:rPr>
              <w:t xml:space="preserve">Pearce EN, Braverman LE (2009). Environmental pollutants and the thyroid. Best </w:t>
            </w:r>
            <w:proofErr w:type="spellStart"/>
            <w:r w:rsidRPr="00E92C22">
              <w:rPr>
                <w:rFonts w:ascii="Calibri" w:hAnsi="Calibri" w:cs="Calibri"/>
              </w:rPr>
              <w:t>Pract</w:t>
            </w:r>
            <w:proofErr w:type="spellEnd"/>
            <w:r w:rsidRPr="00E92C22">
              <w:rPr>
                <w:rFonts w:ascii="Calibri" w:hAnsi="Calibri" w:cs="Calibri"/>
              </w:rPr>
              <w:t xml:space="preserve"> Res Clin Endocrinol </w:t>
            </w:r>
            <w:proofErr w:type="spellStart"/>
            <w:r w:rsidRPr="00E92C22">
              <w:rPr>
                <w:rFonts w:ascii="Calibri" w:hAnsi="Calibri" w:cs="Calibri"/>
              </w:rPr>
              <w:t>Metab</w:t>
            </w:r>
            <w:proofErr w:type="spellEnd"/>
            <w:r w:rsidRPr="00E92C22">
              <w:rPr>
                <w:rFonts w:ascii="Calibri" w:hAnsi="Calibri" w:cs="Calibri"/>
              </w:rPr>
              <w:t>, 23(6): 801-13.</w:t>
            </w:r>
          </w:p>
        </w:tc>
      </w:tr>
      <w:tr w:rsidR="00270FBF" w14:paraId="451B3A3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D038A9A" w14:textId="77777777" w:rsidR="00270FBF" w:rsidRPr="00E92C22" w:rsidRDefault="00270FBF" w:rsidP="00270FBF">
            <w:pPr>
              <w:jc w:val="center"/>
              <w:rPr>
                <w:rFonts w:ascii="Calibri" w:hAnsi="Calibri" w:cs="Calibri"/>
              </w:rPr>
            </w:pPr>
            <w:r w:rsidRPr="00E92C22">
              <w:rPr>
                <w:rFonts w:ascii="Calibri" w:hAnsi="Calibri" w:cs="Calibri"/>
              </w:rPr>
              <w:t>56963</w:t>
            </w:r>
          </w:p>
        </w:tc>
        <w:tc>
          <w:tcPr>
            <w:tcW w:w="7371" w:type="dxa"/>
            <w:tcBorders>
              <w:top w:val="single" w:sz="4" w:space="0" w:color="auto"/>
              <w:left w:val="single" w:sz="4" w:space="0" w:color="auto"/>
              <w:bottom w:val="single" w:sz="4" w:space="0" w:color="auto"/>
              <w:right w:val="single" w:sz="4" w:space="0" w:color="auto"/>
            </w:tcBorders>
            <w:hideMark/>
          </w:tcPr>
          <w:p w14:paraId="4BE902BF" w14:textId="77777777" w:rsidR="00270FBF" w:rsidRPr="00E92C22" w:rsidRDefault="00270FBF" w:rsidP="00270FBF">
            <w:pPr>
              <w:rPr>
                <w:rFonts w:ascii="Calibri" w:hAnsi="Calibri" w:cs="Calibri"/>
              </w:rPr>
            </w:pPr>
            <w:proofErr w:type="spellStart"/>
            <w:r w:rsidRPr="00E92C22">
              <w:rPr>
                <w:rFonts w:ascii="Calibri" w:hAnsi="Calibri" w:cs="Calibri"/>
              </w:rPr>
              <w:t>Pelclova</w:t>
            </w:r>
            <w:proofErr w:type="spellEnd"/>
            <w:r w:rsidRPr="00E92C22">
              <w:rPr>
                <w:rFonts w:ascii="Calibri" w:hAnsi="Calibri" w:cs="Calibri"/>
              </w:rPr>
              <w:t xml:space="preserve"> D, Urban P, Preiss J, et al (2006). Adverse health effects in humans exposed to 2,3,7,8-tetrachlorodibenzo-p-dioxin (TCDD). Rev Environ Health, 21(2): 119-38.</w:t>
            </w:r>
          </w:p>
        </w:tc>
      </w:tr>
      <w:tr w:rsidR="00270FBF" w14:paraId="1341AE9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0945DB7" w14:textId="77777777" w:rsidR="00270FBF" w:rsidRPr="00E92C22" w:rsidRDefault="00270FBF" w:rsidP="00270FBF">
            <w:pPr>
              <w:jc w:val="center"/>
              <w:rPr>
                <w:rFonts w:ascii="Calibri" w:hAnsi="Calibri" w:cs="Calibri"/>
              </w:rPr>
            </w:pPr>
            <w:r w:rsidRPr="00E92C22">
              <w:rPr>
                <w:rFonts w:ascii="Calibri" w:hAnsi="Calibri" w:cs="Calibri"/>
              </w:rPr>
              <w:t>65385</w:t>
            </w:r>
          </w:p>
        </w:tc>
        <w:tc>
          <w:tcPr>
            <w:tcW w:w="7371" w:type="dxa"/>
            <w:tcBorders>
              <w:top w:val="single" w:sz="4" w:space="0" w:color="auto"/>
              <w:left w:val="single" w:sz="4" w:space="0" w:color="auto"/>
              <w:bottom w:val="single" w:sz="4" w:space="0" w:color="auto"/>
              <w:right w:val="single" w:sz="4" w:space="0" w:color="auto"/>
            </w:tcBorders>
            <w:hideMark/>
          </w:tcPr>
          <w:p w14:paraId="16DC0F3F" w14:textId="77777777" w:rsidR="00270FBF" w:rsidRPr="00E92C22" w:rsidRDefault="00270FBF" w:rsidP="00270FBF">
            <w:pPr>
              <w:rPr>
                <w:rFonts w:ascii="Calibri" w:hAnsi="Calibri" w:cs="Calibri"/>
              </w:rPr>
            </w:pPr>
            <w:r w:rsidRPr="00E92C22">
              <w:rPr>
                <w:rFonts w:ascii="Calibri" w:hAnsi="Calibri" w:cs="Calibri"/>
              </w:rPr>
              <w:t xml:space="preserve">Peluso R, Lupoli GA, Del Puente A, et al (2011). Prevalence of thyroid autoimmunity in patients with spondyloarthropathies. J </w:t>
            </w:r>
            <w:proofErr w:type="spellStart"/>
            <w:r w:rsidRPr="00E92C22">
              <w:rPr>
                <w:rFonts w:ascii="Calibri" w:hAnsi="Calibri" w:cs="Calibri"/>
              </w:rPr>
              <w:t>Rheumatol</w:t>
            </w:r>
            <w:proofErr w:type="spellEnd"/>
            <w:r w:rsidRPr="00E92C22">
              <w:rPr>
                <w:rFonts w:ascii="Calibri" w:hAnsi="Calibri" w:cs="Calibri"/>
              </w:rPr>
              <w:t>, 38(7): 1371-7.</w:t>
            </w:r>
          </w:p>
        </w:tc>
      </w:tr>
      <w:tr w:rsidR="00270FBF" w14:paraId="10C5F74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9D3B45D" w14:textId="77777777" w:rsidR="00270FBF" w:rsidRPr="00E92C22" w:rsidRDefault="00270FBF" w:rsidP="00270FBF">
            <w:pPr>
              <w:jc w:val="center"/>
              <w:rPr>
                <w:rFonts w:ascii="Calibri" w:hAnsi="Calibri" w:cs="Calibri"/>
              </w:rPr>
            </w:pPr>
            <w:r w:rsidRPr="00E92C22">
              <w:rPr>
                <w:rFonts w:ascii="Calibri" w:hAnsi="Calibri" w:cs="Calibri"/>
              </w:rPr>
              <w:t>65645</w:t>
            </w:r>
          </w:p>
        </w:tc>
        <w:tc>
          <w:tcPr>
            <w:tcW w:w="7371" w:type="dxa"/>
            <w:tcBorders>
              <w:top w:val="single" w:sz="4" w:space="0" w:color="auto"/>
              <w:left w:val="single" w:sz="4" w:space="0" w:color="auto"/>
              <w:bottom w:val="single" w:sz="4" w:space="0" w:color="auto"/>
              <w:right w:val="single" w:sz="4" w:space="0" w:color="auto"/>
            </w:tcBorders>
            <w:hideMark/>
          </w:tcPr>
          <w:p w14:paraId="29BB4800" w14:textId="77777777" w:rsidR="00270FBF" w:rsidRPr="00E92C22" w:rsidRDefault="00270FBF" w:rsidP="00270FBF">
            <w:pPr>
              <w:rPr>
                <w:rFonts w:ascii="Calibri" w:hAnsi="Calibri" w:cs="Calibri"/>
              </w:rPr>
            </w:pPr>
            <w:r w:rsidRPr="00E92C22">
              <w:rPr>
                <w:rFonts w:ascii="Calibri" w:hAnsi="Calibri" w:cs="Calibri"/>
              </w:rPr>
              <w:t xml:space="preserve">Pradeep PV, Jayashree B (2011). Ectopic thyroid with Hashimoto's thyroiditis presenting as goitrous hypothyroidism. </w:t>
            </w:r>
            <w:proofErr w:type="spellStart"/>
            <w:r w:rsidRPr="00E92C22">
              <w:rPr>
                <w:rFonts w:ascii="Calibri" w:hAnsi="Calibri" w:cs="Calibri"/>
              </w:rPr>
              <w:t>Eur</w:t>
            </w:r>
            <w:proofErr w:type="spellEnd"/>
            <w:r w:rsidRPr="00E92C22">
              <w:rPr>
                <w:rFonts w:ascii="Calibri" w:hAnsi="Calibri" w:cs="Calibri"/>
              </w:rPr>
              <w:t xml:space="preserve"> J </w:t>
            </w:r>
            <w:proofErr w:type="spellStart"/>
            <w:r w:rsidRPr="00E92C22">
              <w:rPr>
                <w:rFonts w:ascii="Calibri" w:hAnsi="Calibri" w:cs="Calibri"/>
              </w:rPr>
              <w:t>Pediatr</w:t>
            </w:r>
            <w:proofErr w:type="spellEnd"/>
            <w:r w:rsidRPr="00E92C22">
              <w:rPr>
                <w:rFonts w:ascii="Calibri" w:hAnsi="Calibri" w:cs="Calibri"/>
              </w:rPr>
              <w:t xml:space="preserve"> Surg, 21(5): 339-40.</w:t>
            </w:r>
          </w:p>
        </w:tc>
      </w:tr>
      <w:tr w:rsidR="00270FBF" w14:paraId="22A8103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5AC1904" w14:textId="77777777" w:rsidR="00270FBF" w:rsidRPr="00E92C22" w:rsidRDefault="00270FBF" w:rsidP="00270FBF">
            <w:pPr>
              <w:jc w:val="center"/>
              <w:rPr>
                <w:rFonts w:ascii="Calibri" w:hAnsi="Calibri" w:cs="Calibri"/>
              </w:rPr>
            </w:pPr>
            <w:r w:rsidRPr="00E92C22">
              <w:rPr>
                <w:rFonts w:ascii="Calibri" w:hAnsi="Calibri" w:cs="Calibri"/>
              </w:rPr>
              <w:t>45968</w:t>
            </w:r>
          </w:p>
        </w:tc>
        <w:tc>
          <w:tcPr>
            <w:tcW w:w="7371" w:type="dxa"/>
            <w:tcBorders>
              <w:top w:val="single" w:sz="4" w:space="0" w:color="auto"/>
              <w:left w:val="single" w:sz="4" w:space="0" w:color="auto"/>
              <w:bottom w:val="single" w:sz="4" w:space="0" w:color="auto"/>
              <w:right w:val="single" w:sz="4" w:space="0" w:color="auto"/>
            </w:tcBorders>
            <w:hideMark/>
          </w:tcPr>
          <w:p w14:paraId="0648671A" w14:textId="77777777" w:rsidR="00270FBF" w:rsidRPr="00E92C22" w:rsidRDefault="00270FBF" w:rsidP="00270FBF">
            <w:pPr>
              <w:rPr>
                <w:rFonts w:ascii="Calibri" w:hAnsi="Calibri" w:cs="Calibri"/>
              </w:rPr>
            </w:pPr>
            <w:r w:rsidRPr="00E92C22">
              <w:rPr>
                <w:rFonts w:ascii="Calibri" w:hAnsi="Calibri" w:cs="Calibri"/>
              </w:rPr>
              <w:t xml:space="preserve">Preston DL, Ron E, Tokuoka S, et al (2007). Solid cancer incidence in atomic bomb survivors: 1958-1998. </w:t>
            </w:r>
            <w:proofErr w:type="spellStart"/>
            <w:r w:rsidRPr="00E92C22">
              <w:rPr>
                <w:rFonts w:ascii="Calibri" w:hAnsi="Calibri" w:cs="Calibri"/>
              </w:rPr>
              <w:t>Radiat</w:t>
            </w:r>
            <w:proofErr w:type="spellEnd"/>
            <w:r w:rsidRPr="00E92C22">
              <w:rPr>
                <w:rFonts w:ascii="Calibri" w:hAnsi="Calibri" w:cs="Calibri"/>
              </w:rPr>
              <w:t xml:space="preserve"> Res, 168(1): 1-64.</w:t>
            </w:r>
          </w:p>
        </w:tc>
      </w:tr>
      <w:tr w:rsidR="00270FBF" w14:paraId="2EED107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482B133" w14:textId="77777777" w:rsidR="00270FBF" w:rsidRPr="00E92C22" w:rsidRDefault="00270FBF" w:rsidP="00270FBF">
            <w:pPr>
              <w:jc w:val="center"/>
              <w:rPr>
                <w:rFonts w:ascii="Calibri" w:hAnsi="Calibri" w:cs="Calibri"/>
              </w:rPr>
            </w:pPr>
            <w:r w:rsidRPr="00E92C22">
              <w:rPr>
                <w:rFonts w:ascii="Calibri" w:hAnsi="Calibri" w:cs="Calibri"/>
              </w:rPr>
              <w:t>35442</w:t>
            </w:r>
          </w:p>
        </w:tc>
        <w:tc>
          <w:tcPr>
            <w:tcW w:w="7371" w:type="dxa"/>
            <w:tcBorders>
              <w:top w:val="single" w:sz="4" w:space="0" w:color="auto"/>
              <w:left w:val="single" w:sz="4" w:space="0" w:color="auto"/>
              <w:bottom w:val="single" w:sz="4" w:space="0" w:color="auto"/>
              <w:right w:val="single" w:sz="4" w:space="0" w:color="auto"/>
            </w:tcBorders>
            <w:hideMark/>
          </w:tcPr>
          <w:p w14:paraId="44D4B33D" w14:textId="77777777" w:rsidR="00270FBF" w:rsidRPr="00E92C22" w:rsidRDefault="00270FBF" w:rsidP="00270FBF">
            <w:pPr>
              <w:rPr>
                <w:rFonts w:ascii="Calibri" w:hAnsi="Calibri" w:cs="Calibri"/>
              </w:rPr>
            </w:pPr>
            <w:r w:rsidRPr="00E92C22">
              <w:rPr>
                <w:rFonts w:ascii="Calibri" w:hAnsi="Calibri" w:cs="Calibri"/>
              </w:rPr>
              <w:t xml:space="preserve">Preston DL, Shimizu Y, Pierce DA, et al (2003). Studies of mortality of atomic bomb survivors. Report 13: Solid cancer and noncancer disease mortality: 1950-1997. </w:t>
            </w:r>
            <w:proofErr w:type="spellStart"/>
            <w:r w:rsidRPr="00E92C22">
              <w:rPr>
                <w:rFonts w:ascii="Calibri" w:hAnsi="Calibri" w:cs="Calibri"/>
              </w:rPr>
              <w:t>Radiat</w:t>
            </w:r>
            <w:proofErr w:type="spellEnd"/>
            <w:r w:rsidRPr="00E92C22">
              <w:rPr>
                <w:rFonts w:ascii="Calibri" w:hAnsi="Calibri" w:cs="Calibri"/>
              </w:rPr>
              <w:t xml:space="preserve"> Res, 160(4): 381-407.</w:t>
            </w:r>
          </w:p>
        </w:tc>
      </w:tr>
      <w:tr w:rsidR="00270FBF" w14:paraId="045243A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79D6EE2" w14:textId="77777777" w:rsidR="00270FBF" w:rsidRPr="00E92C22" w:rsidRDefault="00270FBF" w:rsidP="00270FBF">
            <w:pPr>
              <w:jc w:val="center"/>
              <w:rPr>
                <w:rFonts w:ascii="Calibri" w:hAnsi="Calibri" w:cs="Calibri"/>
              </w:rPr>
            </w:pPr>
            <w:r w:rsidRPr="00E92C22">
              <w:rPr>
                <w:rFonts w:ascii="Calibri" w:hAnsi="Calibri" w:cs="Calibri"/>
              </w:rPr>
              <w:t>64571</w:t>
            </w:r>
          </w:p>
        </w:tc>
        <w:tc>
          <w:tcPr>
            <w:tcW w:w="7371" w:type="dxa"/>
            <w:tcBorders>
              <w:top w:val="single" w:sz="4" w:space="0" w:color="auto"/>
              <w:left w:val="single" w:sz="4" w:space="0" w:color="auto"/>
              <w:bottom w:val="single" w:sz="4" w:space="0" w:color="auto"/>
              <w:right w:val="single" w:sz="4" w:space="0" w:color="auto"/>
            </w:tcBorders>
            <w:hideMark/>
          </w:tcPr>
          <w:p w14:paraId="4DB3C325" w14:textId="77777777" w:rsidR="00270FBF" w:rsidRPr="00E92C22" w:rsidRDefault="00270FBF" w:rsidP="00270FBF">
            <w:pPr>
              <w:rPr>
                <w:rFonts w:ascii="Calibri" w:hAnsi="Calibri" w:cs="Calibri"/>
              </w:rPr>
            </w:pPr>
            <w:r w:rsidRPr="006E1170">
              <w:rPr>
                <w:rFonts w:ascii="Calibri" w:hAnsi="Calibri" w:cs="Calibri"/>
                <w:lang w:val="de-DE"/>
              </w:rPr>
              <w:t xml:space="preserve">Proust-Lemoine E, d'Herbomez M, Marchandise X, et al (2011). </w:t>
            </w:r>
            <w:r w:rsidRPr="00E92C22">
              <w:rPr>
                <w:rFonts w:ascii="Calibri" w:hAnsi="Calibri" w:cs="Calibri"/>
              </w:rPr>
              <w:t>Precocious hypothyroidism mechanisms after radioiodine treatment in Graves' disease. Presse Med, 40(1 Pt 1): e1-8.</w:t>
            </w:r>
          </w:p>
        </w:tc>
      </w:tr>
      <w:tr w:rsidR="00270FBF" w14:paraId="7D6F5CE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2F91B27" w14:textId="77777777" w:rsidR="00270FBF" w:rsidRPr="00E92C22" w:rsidRDefault="00270FBF" w:rsidP="00270FBF">
            <w:pPr>
              <w:jc w:val="center"/>
              <w:rPr>
                <w:rFonts w:ascii="Calibri" w:hAnsi="Calibri" w:cs="Calibri"/>
              </w:rPr>
            </w:pPr>
            <w:r w:rsidRPr="00E92C22">
              <w:rPr>
                <w:rFonts w:ascii="Calibri" w:hAnsi="Calibri" w:cs="Calibri"/>
              </w:rPr>
              <w:t>81302</w:t>
            </w:r>
          </w:p>
        </w:tc>
        <w:tc>
          <w:tcPr>
            <w:tcW w:w="7371" w:type="dxa"/>
            <w:tcBorders>
              <w:top w:val="single" w:sz="4" w:space="0" w:color="auto"/>
              <w:left w:val="single" w:sz="4" w:space="0" w:color="auto"/>
              <w:bottom w:val="single" w:sz="4" w:space="0" w:color="auto"/>
              <w:right w:val="single" w:sz="4" w:space="0" w:color="auto"/>
            </w:tcBorders>
            <w:hideMark/>
          </w:tcPr>
          <w:p w14:paraId="099392B2" w14:textId="77777777" w:rsidR="00270FBF" w:rsidRPr="00E92C22" w:rsidRDefault="00270FBF" w:rsidP="00270FBF">
            <w:pPr>
              <w:rPr>
                <w:rFonts w:ascii="Calibri" w:hAnsi="Calibri" w:cs="Calibri"/>
              </w:rPr>
            </w:pPr>
            <w:r w:rsidRPr="00E92C22">
              <w:rPr>
                <w:rFonts w:ascii="Calibri" w:hAnsi="Calibri" w:cs="Calibri"/>
              </w:rPr>
              <w:t xml:space="preserve">Qiu J, Soderlund-Venermo M, Young S (2017). Human parvoviruses. Clin </w:t>
            </w:r>
            <w:proofErr w:type="spellStart"/>
            <w:r w:rsidRPr="00E92C22">
              <w:rPr>
                <w:rFonts w:ascii="Calibri" w:hAnsi="Calibri" w:cs="Calibri"/>
              </w:rPr>
              <w:t>Microbiol</w:t>
            </w:r>
            <w:proofErr w:type="spellEnd"/>
            <w:r w:rsidRPr="00E92C22">
              <w:rPr>
                <w:rFonts w:ascii="Calibri" w:hAnsi="Calibri" w:cs="Calibri"/>
              </w:rPr>
              <w:t xml:space="preserve"> Rev, 30(1): 43-173.</w:t>
            </w:r>
          </w:p>
        </w:tc>
      </w:tr>
      <w:tr w:rsidR="00270FBF" w14:paraId="3831DA49"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44AEFA4" w14:textId="77777777" w:rsidR="00270FBF" w:rsidRPr="00E92C22" w:rsidRDefault="00270FBF" w:rsidP="00270FBF">
            <w:pPr>
              <w:jc w:val="center"/>
              <w:rPr>
                <w:rFonts w:ascii="Calibri" w:hAnsi="Calibri" w:cs="Calibri"/>
              </w:rPr>
            </w:pPr>
            <w:r w:rsidRPr="00E92C22">
              <w:rPr>
                <w:rFonts w:ascii="Calibri" w:hAnsi="Calibri" w:cs="Calibri"/>
              </w:rPr>
              <w:t>58630</w:t>
            </w:r>
          </w:p>
        </w:tc>
        <w:tc>
          <w:tcPr>
            <w:tcW w:w="7371" w:type="dxa"/>
            <w:tcBorders>
              <w:top w:val="single" w:sz="4" w:space="0" w:color="auto"/>
              <w:left w:val="single" w:sz="4" w:space="0" w:color="auto"/>
              <w:bottom w:val="single" w:sz="4" w:space="0" w:color="auto"/>
              <w:right w:val="single" w:sz="4" w:space="0" w:color="auto"/>
            </w:tcBorders>
            <w:hideMark/>
          </w:tcPr>
          <w:p w14:paraId="39D84091" w14:textId="77777777" w:rsidR="00270FBF" w:rsidRPr="00E92C22" w:rsidRDefault="00270FBF" w:rsidP="00270FBF">
            <w:pPr>
              <w:rPr>
                <w:rFonts w:ascii="Calibri" w:hAnsi="Calibri" w:cs="Calibri"/>
              </w:rPr>
            </w:pPr>
            <w:r w:rsidRPr="00E92C22">
              <w:rPr>
                <w:rFonts w:ascii="Calibri" w:hAnsi="Calibri" w:cs="Calibri"/>
              </w:rPr>
              <w:t>Raabe OG (2010). Concerning the health effects of internally deposited radionuclides. Health Phys, 98(3): 515-36.</w:t>
            </w:r>
          </w:p>
        </w:tc>
      </w:tr>
      <w:tr w:rsidR="00270FBF" w14:paraId="33EDA1F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B8FF3AA" w14:textId="77777777" w:rsidR="00270FBF" w:rsidRPr="00E92C22" w:rsidRDefault="00270FBF" w:rsidP="00270FBF">
            <w:pPr>
              <w:jc w:val="center"/>
              <w:rPr>
                <w:rFonts w:ascii="Calibri" w:hAnsi="Calibri" w:cs="Calibri"/>
              </w:rPr>
            </w:pPr>
            <w:r w:rsidRPr="00E92C22">
              <w:rPr>
                <w:rFonts w:ascii="Calibri" w:hAnsi="Calibri" w:cs="Calibri"/>
              </w:rPr>
              <w:t>80733</w:t>
            </w:r>
          </w:p>
        </w:tc>
        <w:tc>
          <w:tcPr>
            <w:tcW w:w="7371" w:type="dxa"/>
            <w:tcBorders>
              <w:top w:val="single" w:sz="4" w:space="0" w:color="auto"/>
              <w:left w:val="single" w:sz="4" w:space="0" w:color="auto"/>
              <w:bottom w:val="single" w:sz="4" w:space="0" w:color="auto"/>
              <w:right w:val="single" w:sz="4" w:space="0" w:color="auto"/>
            </w:tcBorders>
            <w:hideMark/>
          </w:tcPr>
          <w:p w14:paraId="0C83B619" w14:textId="77777777" w:rsidR="00270FBF" w:rsidRPr="00E92C22" w:rsidRDefault="00270FBF" w:rsidP="00270FBF">
            <w:pPr>
              <w:rPr>
                <w:rFonts w:ascii="Calibri" w:hAnsi="Calibri" w:cs="Calibri"/>
              </w:rPr>
            </w:pPr>
            <w:r w:rsidRPr="00E92C22">
              <w:rPr>
                <w:rFonts w:ascii="Calibri" w:hAnsi="Calibri" w:cs="Calibri"/>
              </w:rPr>
              <w:t>Radiation Effects Research Foundation (2007). Frequently asked questions. Retrieved 6 February 2017, from http://www.rerf.jp/general/qa_e/qa12.html</w:t>
            </w:r>
          </w:p>
        </w:tc>
      </w:tr>
      <w:tr w:rsidR="00270FBF" w14:paraId="49C6756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E6A719E" w14:textId="77777777" w:rsidR="00270FBF" w:rsidRPr="00E92C22" w:rsidRDefault="00270FBF" w:rsidP="00270FBF">
            <w:pPr>
              <w:jc w:val="center"/>
              <w:rPr>
                <w:rFonts w:ascii="Calibri" w:hAnsi="Calibri" w:cs="Calibri"/>
              </w:rPr>
            </w:pPr>
            <w:r w:rsidRPr="00E92C22">
              <w:rPr>
                <w:rFonts w:ascii="Calibri" w:hAnsi="Calibri" w:cs="Calibri"/>
              </w:rPr>
              <w:t>102522</w:t>
            </w:r>
          </w:p>
        </w:tc>
        <w:tc>
          <w:tcPr>
            <w:tcW w:w="7371" w:type="dxa"/>
            <w:tcBorders>
              <w:top w:val="single" w:sz="4" w:space="0" w:color="auto"/>
              <w:left w:val="single" w:sz="4" w:space="0" w:color="auto"/>
              <w:bottom w:val="single" w:sz="4" w:space="0" w:color="auto"/>
              <w:right w:val="single" w:sz="4" w:space="0" w:color="auto"/>
            </w:tcBorders>
            <w:hideMark/>
          </w:tcPr>
          <w:p w14:paraId="149596CA" w14:textId="77777777" w:rsidR="00270FBF" w:rsidRPr="00E92C22" w:rsidRDefault="00270FBF" w:rsidP="00270FBF">
            <w:pPr>
              <w:rPr>
                <w:rFonts w:ascii="Calibri" w:hAnsi="Calibri" w:cs="Calibri"/>
              </w:rPr>
            </w:pPr>
            <w:r w:rsidRPr="00E92C22">
              <w:rPr>
                <w:rFonts w:ascii="Calibri" w:hAnsi="Calibri" w:cs="Calibri"/>
              </w:rPr>
              <w:t xml:space="preserve">Ragusa F, Fallahi P, Elia G, et al (2019). </w:t>
            </w:r>
            <w:proofErr w:type="spellStart"/>
            <w:r w:rsidRPr="00E92C22">
              <w:rPr>
                <w:rFonts w:ascii="Calibri" w:hAnsi="Calibri" w:cs="Calibri"/>
              </w:rPr>
              <w:t>Hashimotos</w:t>
            </w:r>
            <w:proofErr w:type="spellEnd"/>
            <w:r w:rsidRPr="00E92C22">
              <w:rPr>
                <w:rFonts w:ascii="Calibri" w:hAnsi="Calibri" w:cs="Calibri"/>
              </w:rPr>
              <w:t xml:space="preserve">' thyroiditis: Epidemiology, pathogenesis, clinic and therapy. Best </w:t>
            </w:r>
            <w:proofErr w:type="spellStart"/>
            <w:r w:rsidRPr="00E92C22">
              <w:rPr>
                <w:rFonts w:ascii="Calibri" w:hAnsi="Calibri" w:cs="Calibri"/>
              </w:rPr>
              <w:t>Pract</w:t>
            </w:r>
            <w:proofErr w:type="spellEnd"/>
            <w:r w:rsidRPr="00E92C22">
              <w:rPr>
                <w:rFonts w:ascii="Calibri" w:hAnsi="Calibri" w:cs="Calibri"/>
              </w:rPr>
              <w:t xml:space="preserve"> Res Clin Endocrinol </w:t>
            </w:r>
            <w:proofErr w:type="spellStart"/>
            <w:r w:rsidRPr="00E92C22">
              <w:rPr>
                <w:rFonts w:ascii="Calibri" w:hAnsi="Calibri" w:cs="Calibri"/>
              </w:rPr>
              <w:t>Metab</w:t>
            </w:r>
            <w:proofErr w:type="spellEnd"/>
            <w:r w:rsidRPr="00E92C22">
              <w:rPr>
                <w:rFonts w:ascii="Calibri" w:hAnsi="Calibri" w:cs="Calibri"/>
              </w:rPr>
              <w:t>, 33(6): 101367.</w:t>
            </w:r>
          </w:p>
        </w:tc>
      </w:tr>
      <w:tr w:rsidR="00270FBF" w14:paraId="5C937A0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D940A0D" w14:textId="77777777" w:rsidR="00270FBF" w:rsidRPr="00E92C22" w:rsidRDefault="00270FBF" w:rsidP="00270FBF">
            <w:pPr>
              <w:jc w:val="center"/>
              <w:rPr>
                <w:rFonts w:ascii="Calibri" w:hAnsi="Calibri" w:cs="Calibri"/>
              </w:rPr>
            </w:pPr>
            <w:r w:rsidRPr="00E92C22">
              <w:rPr>
                <w:rFonts w:ascii="Calibri" w:hAnsi="Calibri" w:cs="Calibri"/>
              </w:rPr>
              <w:t>102373</w:t>
            </w:r>
          </w:p>
        </w:tc>
        <w:tc>
          <w:tcPr>
            <w:tcW w:w="7371" w:type="dxa"/>
            <w:tcBorders>
              <w:top w:val="single" w:sz="4" w:space="0" w:color="auto"/>
              <w:left w:val="single" w:sz="4" w:space="0" w:color="auto"/>
              <w:bottom w:val="single" w:sz="4" w:space="0" w:color="auto"/>
              <w:right w:val="single" w:sz="4" w:space="0" w:color="auto"/>
            </w:tcBorders>
            <w:hideMark/>
          </w:tcPr>
          <w:p w14:paraId="13526FB0" w14:textId="77777777" w:rsidR="00270FBF" w:rsidRPr="00E92C22" w:rsidRDefault="00270FBF" w:rsidP="00270FBF">
            <w:pPr>
              <w:rPr>
                <w:rFonts w:ascii="Calibri" w:hAnsi="Calibri" w:cs="Calibri"/>
              </w:rPr>
            </w:pPr>
            <w:r w:rsidRPr="00E92C22">
              <w:rPr>
                <w:rFonts w:ascii="Calibri" w:hAnsi="Calibri" w:cs="Calibri"/>
              </w:rPr>
              <w:t xml:space="preserve">Ralli M, Angeletti D, Fiore M, et al (2020). Hashimoto's thyroiditis: An update on pathogenic mechanisms, diagnostic protocols, therapeutic strategies, and potential malignant transformation. </w:t>
            </w:r>
            <w:proofErr w:type="spellStart"/>
            <w:r w:rsidRPr="00E92C22">
              <w:rPr>
                <w:rFonts w:ascii="Calibri" w:hAnsi="Calibri" w:cs="Calibri"/>
              </w:rPr>
              <w:t>Autoimmun</w:t>
            </w:r>
            <w:proofErr w:type="spellEnd"/>
            <w:r w:rsidRPr="00E92C22">
              <w:rPr>
                <w:rFonts w:ascii="Calibri" w:hAnsi="Calibri" w:cs="Calibri"/>
              </w:rPr>
              <w:t xml:space="preserve"> Rev, 19(10): 102649.</w:t>
            </w:r>
          </w:p>
        </w:tc>
      </w:tr>
      <w:tr w:rsidR="00270FBF" w14:paraId="0E8920CC"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0BDE04C" w14:textId="77777777" w:rsidR="00270FBF" w:rsidRPr="00E92C22" w:rsidRDefault="00270FBF" w:rsidP="00270FBF">
            <w:pPr>
              <w:jc w:val="center"/>
              <w:rPr>
                <w:rFonts w:ascii="Calibri" w:hAnsi="Calibri" w:cs="Calibri"/>
              </w:rPr>
            </w:pPr>
            <w:r w:rsidRPr="00E92C22">
              <w:rPr>
                <w:rFonts w:ascii="Calibri" w:hAnsi="Calibri" w:cs="Calibri"/>
              </w:rPr>
              <w:t>101713</w:t>
            </w:r>
          </w:p>
        </w:tc>
        <w:tc>
          <w:tcPr>
            <w:tcW w:w="7371" w:type="dxa"/>
            <w:tcBorders>
              <w:top w:val="single" w:sz="4" w:space="0" w:color="auto"/>
              <w:left w:val="single" w:sz="4" w:space="0" w:color="auto"/>
              <w:bottom w:val="single" w:sz="4" w:space="0" w:color="auto"/>
              <w:right w:val="single" w:sz="4" w:space="0" w:color="auto"/>
            </w:tcBorders>
            <w:hideMark/>
          </w:tcPr>
          <w:p w14:paraId="2F529775" w14:textId="77777777" w:rsidR="00270FBF" w:rsidRPr="00E92C22" w:rsidRDefault="00270FBF" w:rsidP="00270FBF">
            <w:pPr>
              <w:rPr>
                <w:rFonts w:ascii="Calibri" w:hAnsi="Calibri" w:cs="Calibri"/>
              </w:rPr>
            </w:pPr>
            <w:r w:rsidRPr="00E92C22">
              <w:rPr>
                <w:rFonts w:ascii="Calibri" w:hAnsi="Calibri" w:cs="Calibri"/>
              </w:rPr>
              <w:t>Reiners C, Drozd V, Yamashita S (2020). Hypothyroidism after radiation exposure: brief narrative review. J Neural Transm (Vienna), 127(11): 1455-66.</w:t>
            </w:r>
          </w:p>
        </w:tc>
      </w:tr>
      <w:tr w:rsidR="00270FBF" w14:paraId="1DBCD11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DBBFBEA" w14:textId="77777777" w:rsidR="00270FBF" w:rsidRPr="00E92C22" w:rsidRDefault="00270FBF" w:rsidP="00270FBF">
            <w:pPr>
              <w:jc w:val="center"/>
              <w:rPr>
                <w:rFonts w:ascii="Calibri" w:hAnsi="Calibri" w:cs="Calibri"/>
              </w:rPr>
            </w:pPr>
            <w:r w:rsidRPr="00E92C22">
              <w:rPr>
                <w:rFonts w:ascii="Calibri" w:hAnsi="Calibri" w:cs="Calibri"/>
              </w:rPr>
              <w:t>99016</w:t>
            </w:r>
          </w:p>
        </w:tc>
        <w:tc>
          <w:tcPr>
            <w:tcW w:w="7371" w:type="dxa"/>
            <w:tcBorders>
              <w:top w:val="single" w:sz="4" w:space="0" w:color="auto"/>
              <w:left w:val="single" w:sz="4" w:space="0" w:color="auto"/>
              <w:bottom w:val="single" w:sz="4" w:space="0" w:color="auto"/>
              <w:right w:val="single" w:sz="4" w:space="0" w:color="auto"/>
            </w:tcBorders>
            <w:hideMark/>
          </w:tcPr>
          <w:p w14:paraId="6FBC169F" w14:textId="77777777" w:rsidR="00270FBF" w:rsidRPr="00E92C22" w:rsidRDefault="00270FBF" w:rsidP="00270FBF">
            <w:pPr>
              <w:rPr>
                <w:rFonts w:ascii="Calibri" w:hAnsi="Calibri" w:cs="Calibri"/>
              </w:rPr>
            </w:pPr>
            <w:r w:rsidRPr="00E92C22">
              <w:rPr>
                <w:rFonts w:ascii="Calibri" w:hAnsi="Calibri" w:cs="Calibri"/>
              </w:rPr>
              <w:t xml:space="preserve">Rendina D, De Palma D, De Filippo G, et al (2015). Prevalence of simple nodular </w:t>
            </w:r>
            <w:proofErr w:type="spellStart"/>
            <w:r w:rsidRPr="00E92C22">
              <w:rPr>
                <w:rFonts w:ascii="Calibri" w:hAnsi="Calibri" w:cs="Calibri"/>
              </w:rPr>
              <w:t>goiter</w:t>
            </w:r>
            <w:proofErr w:type="spellEnd"/>
            <w:r w:rsidRPr="00E92C22">
              <w:rPr>
                <w:rFonts w:ascii="Calibri" w:hAnsi="Calibri" w:cs="Calibri"/>
              </w:rPr>
              <w:t xml:space="preserve"> and Hashimoto's thyroiditis in current, previous, and never smokers in a geographical area with mild iodine deficiency. Horm </w:t>
            </w:r>
            <w:proofErr w:type="spellStart"/>
            <w:r w:rsidRPr="00E92C22">
              <w:rPr>
                <w:rFonts w:ascii="Calibri" w:hAnsi="Calibri" w:cs="Calibri"/>
              </w:rPr>
              <w:t>Metab</w:t>
            </w:r>
            <w:proofErr w:type="spellEnd"/>
            <w:r w:rsidRPr="00E92C22">
              <w:rPr>
                <w:rFonts w:ascii="Calibri" w:hAnsi="Calibri" w:cs="Calibri"/>
              </w:rPr>
              <w:t xml:space="preserve"> Res, 47(3): 214-9.</w:t>
            </w:r>
          </w:p>
        </w:tc>
      </w:tr>
      <w:tr w:rsidR="00270FBF" w14:paraId="582DF50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FAD4407" w14:textId="77777777" w:rsidR="00270FBF" w:rsidRPr="00E92C22" w:rsidRDefault="00270FBF" w:rsidP="00270FBF">
            <w:pPr>
              <w:jc w:val="center"/>
              <w:rPr>
                <w:rFonts w:ascii="Calibri" w:hAnsi="Calibri" w:cs="Calibri"/>
              </w:rPr>
            </w:pPr>
            <w:r w:rsidRPr="00E92C22">
              <w:rPr>
                <w:rFonts w:ascii="Calibri" w:hAnsi="Calibri" w:cs="Calibri"/>
              </w:rPr>
              <w:t>99170</w:t>
            </w:r>
          </w:p>
        </w:tc>
        <w:tc>
          <w:tcPr>
            <w:tcW w:w="7371" w:type="dxa"/>
            <w:tcBorders>
              <w:top w:val="single" w:sz="4" w:space="0" w:color="auto"/>
              <w:left w:val="single" w:sz="4" w:space="0" w:color="auto"/>
              <w:bottom w:val="single" w:sz="4" w:space="0" w:color="auto"/>
              <w:right w:val="single" w:sz="4" w:space="0" w:color="auto"/>
            </w:tcBorders>
            <w:hideMark/>
          </w:tcPr>
          <w:p w14:paraId="6517ABFD" w14:textId="77777777" w:rsidR="00270FBF" w:rsidRPr="00E92C22" w:rsidRDefault="00270FBF" w:rsidP="00270FBF">
            <w:pPr>
              <w:rPr>
                <w:rFonts w:ascii="Calibri" w:hAnsi="Calibri" w:cs="Calibri"/>
              </w:rPr>
            </w:pPr>
            <w:r w:rsidRPr="00E92C22">
              <w:rPr>
                <w:rFonts w:ascii="Calibri" w:hAnsi="Calibri" w:cs="Calibri"/>
              </w:rPr>
              <w:t>Rizzo LF, Mana DL, Serra HA (2017). Drug-induced hypothyroidism. Medicina (B Aires), 77(5): 394-404.</w:t>
            </w:r>
          </w:p>
        </w:tc>
      </w:tr>
      <w:tr w:rsidR="00270FBF" w14:paraId="71351AE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61E11DD" w14:textId="77777777" w:rsidR="00270FBF" w:rsidRPr="00E92C22" w:rsidRDefault="00270FBF" w:rsidP="00270FBF">
            <w:pPr>
              <w:jc w:val="center"/>
              <w:rPr>
                <w:rFonts w:ascii="Calibri" w:hAnsi="Calibri" w:cs="Calibri"/>
              </w:rPr>
            </w:pPr>
            <w:r w:rsidRPr="00E92C22">
              <w:rPr>
                <w:rFonts w:ascii="Calibri" w:hAnsi="Calibri" w:cs="Calibri"/>
              </w:rPr>
              <w:t>64575</w:t>
            </w:r>
          </w:p>
        </w:tc>
        <w:tc>
          <w:tcPr>
            <w:tcW w:w="7371" w:type="dxa"/>
            <w:tcBorders>
              <w:top w:val="single" w:sz="4" w:space="0" w:color="auto"/>
              <w:left w:val="single" w:sz="4" w:space="0" w:color="auto"/>
              <w:bottom w:val="single" w:sz="4" w:space="0" w:color="auto"/>
              <w:right w:val="single" w:sz="4" w:space="0" w:color="auto"/>
            </w:tcBorders>
            <w:hideMark/>
          </w:tcPr>
          <w:p w14:paraId="7AA042F1" w14:textId="77777777" w:rsidR="00270FBF" w:rsidRPr="00E92C22" w:rsidRDefault="00270FBF" w:rsidP="00270FBF">
            <w:pPr>
              <w:rPr>
                <w:rFonts w:ascii="Calibri" w:hAnsi="Calibri" w:cs="Calibri"/>
              </w:rPr>
            </w:pPr>
            <w:r w:rsidRPr="00E92C22">
              <w:rPr>
                <w:rFonts w:ascii="Calibri" w:hAnsi="Calibri" w:cs="Calibri"/>
              </w:rPr>
              <w:t>Roberts CG, Ladenson PW (2004). Hypothyroidism. Lancet, 363(9411): 793-803.</w:t>
            </w:r>
          </w:p>
        </w:tc>
      </w:tr>
      <w:tr w:rsidR="00270FBF" w14:paraId="1FA6ECA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D55D36E" w14:textId="77777777" w:rsidR="00270FBF" w:rsidRPr="00E92C22" w:rsidRDefault="00270FBF" w:rsidP="00270FBF">
            <w:pPr>
              <w:jc w:val="center"/>
              <w:rPr>
                <w:rFonts w:ascii="Calibri" w:hAnsi="Calibri" w:cs="Calibri"/>
              </w:rPr>
            </w:pPr>
            <w:r w:rsidRPr="00E92C22">
              <w:rPr>
                <w:rFonts w:ascii="Calibri" w:hAnsi="Calibri" w:cs="Calibri"/>
              </w:rPr>
              <w:t>102431</w:t>
            </w:r>
          </w:p>
        </w:tc>
        <w:tc>
          <w:tcPr>
            <w:tcW w:w="7371" w:type="dxa"/>
            <w:tcBorders>
              <w:top w:val="single" w:sz="4" w:space="0" w:color="auto"/>
              <w:left w:val="single" w:sz="4" w:space="0" w:color="auto"/>
              <w:bottom w:val="single" w:sz="4" w:space="0" w:color="auto"/>
              <w:right w:val="single" w:sz="4" w:space="0" w:color="auto"/>
            </w:tcBorders>
            <w:hideMark/>
          </w:tcPr>
          <w:p w14:paraId="009CEFC4" w14:textId="77777777" w:rsidR="00270FBF" w:rsidRPr="00E92C22" w:rsidRDefault="00270FBF" w:rsidP="00270FBF">
            <w:pPr>
              <w:rPr>
                <w:rFonts w:ascii="Calibri" w:hAnsi="Calibri" w:cs="Calibri"/>
              </w:rPr>
            </w:pPr>
            <w:r w:rsidRPr="00E92C22">
              <w:rPr>
                <w:rFonts w:ascii="Calibri" w:hAnsi="Calibri" w:cs="Calibri"/>
              </w:rPr>
              <w:t xml:space="preserve">Rodia R, Pani F, </w:t>
            </w:r>
            <w:proofErr w:type="spellStart"/>
            <w:r w:rsidRPr="00E92C22">
              <w:rPr>
                <w:rFonts w:ascii="Calibri" w:hAnsi="Calibri" w:cs="Calibri"/>
              </w:rPr>
              <w:t>Caocci</w:t>
            </w:r>
            <w:proofErr w:type="spellEnd"/>
            <w:r w:rsidRPr="00E92C22">
              <w:rPr>
                <w:rFonts w:ascii="Calibri" w:hAnsi="Calibri" w:cs="Calibri"/>
              </w:rPr>
              <w:t xml:space="preserve"> G, et al (2021). Thyroid autoimmunity and hypothyroidism are associated with deep molecular response in patients with chronic myeloid leukemia on tyrosine kinase inhibitors. J Endocrinol Invest, </w:t>
            </w:r>
            <w:proofErr w:type="gramStart"/>
            <w:r w:rsidRPr="00E92C22">
              <w:rPr>
                <w:rFonts w:ascii="Calibri" w:hAnsi="Calibri" w:cs="Calibri"/>
              </w:rPr>
              <w:t>Online</w:t>
            </w:r>
            <w:proofErr w:type="gramEnd"/>
            <w:r w:rsidRPr="00E92C22">
              <w:rPr>
                <w:rFonts w:ascii="Calibri" w:hAnsi="Calibri" w:cs="Calibri"/>
              </w:rPr>
              <w:t xml:space="preserve"> ahead of print.</w:t>
            </w:r>
          </w:p>
        </w:tc>
      </w:tr>
      <w:tr w:rsidR="00270FBF" w14:paraId="02BC06F9"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1D169DB" w14:textId="77777777" w:rsidR="00270FBF" w:rsidRPr="00E92C22" w:rsidRDefault="00270FBF" w:rsidP="00270FBF">
            <w:pPr>
              <w:jc w:val="center"/>
              <w:rPr>
                <w:rFonts w:ascii="Calibri" w:hAnsi="Calibri" w:cs="Calibri"/>
              </w:rPr>
            </w:pPr>
            <w:r w:rsidRPr="00E92C22">
              <w:rPr>
                <w:rFonts w:ascii="Calibri" w:hAnsi="Calibri" w:cs="Calibri"/>
              </w:rPr>
              <w:lastRenderedPageBreak/>
              <w:t>64834</w:t>
            </w:r>
          </w:p>
        </w:tc>
        <w:tc>
          <w:tcPr>
            <w:tcW w:w="7371" w:type="dxa"/>
            <w:tcBorders>
              <w:top w:val="single" w:sz="4" w:space="0" w:color="auto"/>
              <w:left w:val="single" w:sz="4" w:space="0" w:color="auto"/>
              <w:bottom w:val="single" w:sz="4" w:space="0" w:color="auto"/>
              <w:right w:val="single" w:sz="4" w:space="0" w:color="auto"/>
            </w:tcBorders>
            <w:hideMark/>
          </w:tcPr>
          <w:p w14:paraId="39D6DBD3" w14:textId="77777777" w:rsidR="00270FBF" w:rsidRPr="00E92C22" w:rsidRDefault="00270FBF" w:rsidP="00270FBF">
            <w:pPr>
              <w:rPr>
                <w:rFonts w:ascii="Calibri" w:hAnsi="Calibri" w:cs="Calibri"/>
              </w:rPr>
            </w:pPr>
            <w:r w:rsidRPr="00E92C22">
              <w:rPr>
                <w:rFonts w:ascii="Calibri" w:hAnsi="Calibri" w:cs="Calibri"/>
              </w:rPr>
              <w:t xml:space="preserve">Ron E, Brenner A (2010). Non-malignant thyroid diseases after a wide range of radiation exposures. </w:t>
            </w:r>
            <w:proofErr w:type="spellStart"/>
            <w:r w:rsidRPr="00E92C22">
              <w:rPr>
                <w:rFonts w:ascii="Calibri" w:hAnsi="Calibri" w:cs="Calibri"/>
              </w:rPr>
              <w:t>Radiat</w:t>
            </w:r>
            <w:proofErr w:type="spellEnd"/>
            <w:r w:rsidRPr="00E92C22">
              <w:rPr>
                <w:rFonts w:ascii="Calibri" w:hAnsi="Calibri" w:cs="Calibri"/>
              </w:rPr>
              <w:t xml:space="preserve"> Res, 174(6): 877-88.</w:t>
            </w:r>
          </w:p>
        </w:tc>
      </w:tr>
      <w:tr w:rsidR="00270FBF" w14:paraId="4777B6A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2641F5B" w14:textId="77777777" w:rsidR="00270FBF" w:rsidRPr="00E92C22" w:rsidRDefault="00270FBF" w:rsidP="00270FBF">
            <w:pPr>
              <w:jc w:val="center"/>
              <w:rPr>
                <w:rFonts w:ascii="Calibri" w:hAnsi="Calibri" w:cs="Calibri"/>
              </w:rPr>
            </w:pPr>
            <w:r w:rsidRPr="00E92C22">
              <w:rPr>
                <w:rFonts w:ascii="Calibri" w:hAnsi="Calibri" w:cs="Calibri"/>
              </w:rPr>
              <w:t>99174</w:t>
            </w:r>
          </w:p>
        </w:tc>
        <w:tc>
          <w:tcPr>
            <w:tcW w:w="7371" w:type="dxa"/>
            <w:tcBorders>
              <w:top w:val="single" w:sz="4" w:space="0" w:color="auto"/>
              <w:left w:val="single" w:sz="4" w:space="0" w:color="auto"/>
              <w:bottom w:val="single" w:sz="4" w:space="0" w:color="auto"/>
              <w:right w:val="single" w:sz="4" w:space="0" w:color="auto"/>
            </w:tcBorders>
            <w:hideMark/>
          </w:tcPr>
          <w:p w14:paraId="56138F92" w14:textId="77777777" w:rsidR="00270FBF" w:rsidRPr="00E92C22" w:rsidRDefault="00270FBF" w:rsidP="00270FBF">
            <w:pPr>
              <w:rPr>
                <w:rFonts w:ascii="Calibri" w:hAnsi="Calibri" w:cs="Calibri"/>
              </w:rPr>
            </w:pPr>
            <w:r w:rsidRPr="00E92C22">
              <w:rPr>
                <w:rFonts w:ascii="Calibri" w:hAnsi="Calibri" w:cs="Calibri"/>
              </w:rPr>
              <w:t>Ross DS (2020). Amiodarone and thyroid dysfunction. Retrieved 8 February 2021, from https://www.uptodate.com/contents/amiodarone-and-thyroid-dysfunction</w:t>
            </w:r>
          </w:p>
        </w:tc>
      </w:tr>
      <w:tr w:rsidR="00270FBF" w14:paraId="1CCD17D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6A68546" w14:textId="77777777" w:rsidR="00270FBF" w:rsidRPr="00E92C22" w:rsidRDefault="00270FBF" w:rsidP="00270FBF">
            <w:pPr>
              <w:jc w:val="center"/>
              <w:rPr>
                <w:rFonts w:ascii="Calibri" w:hAnsi="Calibri" w:cs="Calibri"/>
              </w:rPr>
            </w:pPr>
            <w:r w:rsidRPr="00E92C22">
              <w:rPr>
                <w:rFonts w:ascii="Calibri" w:hAnsi="Calibri" w:cs="Calibri"/>
              </w:rPr>
              <w:t>102716</w:t>
            </w:r>
          </w:p>
        </w:tc>
        <w:tc>
          <w:tcPr>
            <w:tcW w:w="7371" w:type="dxa"/>
            <w:tcBorders>
              <w:top w:val="single" w:sz="4" w:space="0" w:color="auto"/>
              <w:left w:val="single" w:sz="4" w:space="0" w:color="auto"/>
              <w:bottom w:val="single" w:sz="4" w:space="0" w:color="auto"/>
              <w:right w:val="single" w:sz="4" w:space="0" w:color="auto"/>
            </w:tcBorders>
            <w:hideMark/>
          </w:tcPr>
          <w:p w14:paraId="4D53A426" w14:textId="77777777" w:rsidR="00270FBF" w:rsidRPr="00E92C22" w:rsidRDefault="00270FBF" w:rsidP="00270FBF">
            <w:pPr>
              <w:rPr>
                <w:rFonts w:ascii="Calibri" w:hAnsi="Calibri" w:cs="Calibri"/>
              </w:rPr>
            </w:pPr>
            <w:r w:rsidRPr="00E92C22">
              <w:rPr>
                <w:rFonts w:ascii="Calibri" w:hAnsi="Calibri" w:cs="Calibri"/>
              </w:rPr>
              <w:t>Ross DS (2021). Disorders that cause hypothyroidism. Retrieved 20 October 2021, from https://www.uptodate.com/contents/disorders-that-cause-hypothyroidism</w:t>
            </w:r>
          </w:p>
        </w:tc>
      </w:tr>
      <w:tr w:rsidR="00270FBF" w14:paraId="20E62CB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318DC11" w14:textId="77777777" w:rsidR="00270FBF" w:rsidRPr="00E92C22" w:rsidRDefault="00270FBF" w:rsidP="00270FBF">
            <w:pPr>
              <w:jc w:val="center"/>
              <w:rPr>
                <w:rFonts w:ascii="Calibri" w:hAnsi="Calibri" w:cs="Calibri"/>
              </w:rPr>
            </w:pPr>
            <w:r w:rsidRPr="00E92C22">
              <w:rPr>
                <w:rFonts w:ascii="Calibri" w:hAnsi="Calibri" w:cs="Calibri"/>
              </w:rPr>
              <w:t>102717</w:t>
            </w:r>
          </w:p>
        </w:tc>
        <w:tc>
          <w:tcPr>
            <w:tcW w:w="7371" w:type="dxa"/>
            <w:tcBorders>
              <w:top w:val="single" w:sz="4" w:space="0" w:color="auto"/>
              <w:left w:val="single" w:sz="4" w:space="0" w:color="auto"/>
              <w:bottom w:val="single" w:sz="4" w:space="0" w:color="auto"/>
              <w:right w:val="single" w:sz="4" w:space="0" w:color="auto"/>
            </w:tcBorders>
            <w:hideMark/>
          </w:tcPr>
          <w:p w14:paraId="6BBF31CB" w14:textId="77777777" w:rsidR="00270FBF" w:rsidRPr="00E92C22" w:rsidRDefault="00270FBF" w:rsidP="00270FBF">
            <w:pPr>
              <w:rPr>
                <w:rFonts w:ascii="Calibri" w:hAnsi="Calibri" w:cs="Calibri"/>
              </w:rPr>
            </w:pPr>
            <w:r w:rsidRPr="00E92C22">
              <w:rPr>
                <w:rFonts w:ascii="Calibri" w:hAnsi="Calibri" w:cs="Calibri"/>
              </w:rPr>
              <w:t xml:space="preserve">Ross DS (2021). </w:t>
            </w:r>
            <w:proofErr w:type="spellStart"/>
            <w:r w:rsidRPr="00E92C22">
              <w:rPr>
                <w:rFonts w:ascii="Calibri" w:hAnsi="Calibri" w:cs="Calibri"/>
              </w:rPr>
              <w:t>Myxedema</w:t>
            </w:r>
            <w:proofErr w:type="spellEnd"/>
            <w:r w:rsidRPr="00E92C22">
              <w:rPr>
                <w:rFonts w:ascii="Calibri" w:hAnsi="Calibri" w:cs="Calibri"/>
              </w:rPr>
              <w:t xml:space="preserve"> coma. Retrieved 20 October 2021, from https://www.uptodate.com/contents/myxedema-coma</w:t>
            </w:r>
          </w:p>
        </w:tc>
      </w:tr>
      <w:tr w:rsidR="00270FBF" w14:paraId="3E93859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94F201C" w14:textId="77777777" w:rsidR="00270FBF" w:rsidRPr="00E92C22" w:rsidRDefault="00270FBF" w:rsidP="00270FBF">
            <w:pPr>
              <w:jc w:val="center"/>
              <w:rPr>
                <w:rFonts w:ascii="Calibri" w:hAnsi="Calibri" w:cs="Calibri"/>
              </w:rPr>
            </w:pPr>
            <w:r w:rsidRPr="00E92C22">
              <w:rPr>
                <w:rFonts w:ascii="Calibri" w:hAnsi="Calibri" w:cs="Calibri"/>
              </w:rPr>
              <w:t>66929</w:t>
            </w:r>
          </w:p>
        </w:tc>
        <w:tc>
          <w:tcPr>
            <w:tcW w:w="7371" w:type="dxa"/>
            <w:tcBorders>
              <w:top w:val="single" w:sz="4" w:space="0" w:color="auto"/>
              <w:left w:val="single" w:sz="4" w:space="0" w:color="auto"/>
              <w:bottom w:val="single" w:sz="4" w:space="0" w:color="auto"/>
              <w:right w:val="single" w:sz="4" w:space="0" w:color="auto"/>
            </w:tcBorders>
            <w:hideMark/>
          </w:tcPr>
          <w:p w14:paraId="2B8F96A8" w14:textId="77777777" w:rsidR="00270FBF" w:rsidRPr="00E92C22" w:rsidRDefault="00270FBF" w:rsidP="00270FBF">
            <w:pPr>
              <w:rPr>
                <w:rFonts w:ascii="Calibri" w:hAnsi="Calibri" w:cs="Calibri"/>
              </w:rPr>
            </w:pPr>
            <w:r w:rsidRPr="00E92C22">
              <w:rPr>
                <w:rFonts w:ascii="Calibri" w:hAnsi="Calibri" w:cs="Calibri"/>
              </w:rPr>
              <w:t xml:space="preserve">Rotondi M, Leporati P, La Manna A, et al (2009). Raised serum TSH levels in patients with morbid obesity: is it enough to diagnose subclinical hypothyroidism? </w:t>
            </w:r>
            <w:proofErr w:type="spellStart"/>
            <w:r w:rsidRPr="00E92C22">
              <w:rPr>
                <w:rFonts w:ascii="Calibri" w:hAnsi="Calibri" w:cs="Calibri"/>
              </w:rPr>
              <w:t>Eur</w:t>
            </w:r>
            <w:proofErr w:type="spellEnd"/>
            <w:r w:rsidRPr="00E92C22">
              <w:rPr>
                <w:rFonts w:ascii="Calibri" w:hAnsi="Calibri" w:cs="Calibri"/>
              </w:rPr>
              <w:t xml:space="preserve"> J Endocrinol, 160(3): 403-8.</w:t>
            </w:r>
          </w:p>
        </w:tc>
      </w:tr>
      <w:tr w:rsidR="00270FBF" w14:paraId="67A52DF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C79EF64" w14:textId="77777777" w:rsidR="00270FBF" w:rsidRPr="00E92C22" w:rsidRDefault="00270FBF" w:rsidP="00270FBF">
            <w:pPr>
              <w:jc w:val="center"/>
              <w:rPr>
                <w:rFonts w:ascii="Calibri" w:hAnsi="Calibri" w:cs="Calibri"/>
              </w:rPr>
            </w:pPr>
            <w:r w:rsidRPr="00E92C22">
              <w:rPr>
                <w:rFonts w:ascii="Calibri" w:hAnsi="Calibri" w:cs="Calibri"/>
              </w:rPr>
              <w:t>66937</w:t>
            </w:r>
          </w:p>
        </w:tc>
        <w:tc>
          <w:tcPr>
            <w:tcW w:w="7371" w:type="dxa"/>
            <w:tcBorders>
              <w:top w:val="single" w:sz="4" w:space="0" w:color="auto"/>
              <w:left w:val="single" w:sz="4" w:space="0" w:color="auto"/>
              <w:bottom w:val="single" w:sz="4" w:space="0" w:color="auto"/>
              <w:right w:val="single" w:sz="4" w:space="0" w:color="auto"/>
            </w:tcBorders>
            <w:hideMark/>
          </w:tcPr>
          <w:p w14:paraId="2CE1A5DF" w14:textId="77777777" w:rsidR="00270FBF" w:rsidRPr="00E92C22" w:rsidRDefault="00270FBF" w:rsidP="00270FBF">
            <w:pPr>
              <w:rPr>
                <w:rFonts w:ascii="Calibri" w:hAnsi="Calibri" w:cs="Calibri"/>
              </w:rPr>
            </w:pPr>
            <w:r w:rsidRPr="00E92C22">
              <w:rPr>
                <w:rFonts w:ascii="Calibri" w:hAnsi="Calibri" w:cs="Calibri"/>
              </w:rPr>
              <w:t xml:space="preserve">Rotondi M, Magri F, </w:t>
            </w:r>
            <w:proofErr w:type="spellStart"/>
            <w:r w:rsidRPr="00E92C22">
              <w:rPr>
                <w:rFonts w:ascii="Calibri" w:hAnsi="Calibri" w:cs="Calibri"/>
              </w:rPr>
              <w:t>Chiovato</w:t>
            </w:r>
            <w:proofErr w:type="spellEnd"/>
            <w:r w:rsidRPr="00E92C22">
              <w:rPr>
                <w:rFonts w:ascii="Calibri" w:hAnsi="Calibri" w:cs="Calibri"/>
              </w:rPr>
              <w:t xml:space="preserve"> L (2011). Thyroid and obesity: not a one-way interaction. J Clin Endocrinol </w:t>
            </w:r>
            <w:proofErr w:type="spellStart"/>
            <w:r w:rsidRPr="00E92C22">
              <w:rPr>
                <w:rFonts w:ascii="Calibri" w:hAnsi="Calibri" w:cs="Calibri"/>
              </w:rPr>
              <w:t>Metab</w:t>
            </w:r>
            <w:proofErr w:type="spellEnd"/>
            <w:r w:rsidRPr="00E92C22">
              <w:rPr>
                <w:rFonts w:ascii="Calibri" w:hAnsi="Calibri" w:cs="Calibri"/>
              </w:rPr>
              <w:t>, 96(2): 344-6.</w:t>
            </w:r>
          </w:p>
        </w:tc>
      </w:tr>
      <w:tr w:rsidR="00270FBF" w14:paraId="2EDAB39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6E1EB72" w14:textId="77777777" w:rsidR="00270FBF" w:rsidRPr="00E92C22" w:rsidRDefault="00270FBF" w:rsidP="00270FBF">
            <w:pPr>
              <w:jc w:val="center"/>
              <w:rPr>
                <w:rFonts w:ascii="Calibri" w:hAnsi="Calibri" w:cs="Calibri"/>
              </w:rPr>
            </w:pPr>
            <w:r w:rsidRPr="00E92C22">
              <w:rPr>
                <w:rFonts w:ascii="Calibri" w:hAnsi="Calibri" w:cs="Calibri"/>
              </w:rPr>
              <w:t>102521</w:t>
            </w:r>
          </w:p>
        </w:tc>
        <w:tc>
          <w:tcPr>
            <w:tcW w:w="7371" w:type="dxa"/>
            <w:tcBorders>
              <w:top w:val="single" w:sz="4" w:space="0" w:color="auto"/>
              <w:left w:val="single" w:sz="4" w:space="0" w:color="auto"/>
              <w:bottom w:val="single" w:sz="4" w:space="0" w:color="auto"/>
              <w:right w:val="single" w:sz="4" w:space="0" w:color="auto"/>
            </w:tcBorders>
            <w:hideMark/>
          </w:tcPr>
          <w:p w14:paraId="64125884" w14:textId="77777777" w:rsidR="00270FBF" w:rsidRPr="00E92C22" w:rsidRDefault="00270FBF" w:rsidP="00270FBF">
            <w:pPr>
              <w:rPr>
                <w:rFonts w:ascii="Calibri" w:hAnsi="Calibri" w:cs="Calibri"/>
              </w:rPr>
            </w:pPr>
            <w:r w:rsidRPr="00E92C22">
              <w:rPr>
                <w:rFonts w:ascii="Calibri" w:hAnsi="Calibri" w:cs="Calibri"/>
              </w:rPr>
              <w:t xml:space="preserve">Ruggeri RM, Trimarchi F, Giuffrida G, et al (2017). Autoimmune comorbidities in Hashimoto's thyroiditis: different patterns of association in adulthood and childhood/adolescence. </w:t>
            </w:r>
            <w:proofErr w:type="spellStart"/>
            <w:r w:rsidRPr="00E92C22">
              <w:rPr>
                <w:rFonts w:ascii="Calibri" w:hAnsi="Calibri" w:cs="Calibri"/>
              </w:rPr>
              <w:t>Eur</w:t>
            </w:r>
            <w:proofErr w:type="spellEnd"/>
            <w:r w:rsidRPr="00E92C22">
              <w:rPr>
                <w:rFonts w:ascii="Calibri" w:hAnsi="Calibri" w:cs="Calibri"/>
              </w:rPr>
              <w:t xml:space="preserve"> J Endocrinol, 176(2): 133-41.</w:t>
            </w:r>
          </w:p>
        </w:tc>
      </w:tr>
      <w:tr w:rsidR="00270FBF" w14:paraId="3D759A5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727A5EF" w14:textId="77777777" w:rsidR="00270FBF" w:rsidRPr="00E92C22" w:rsidRDefault="00270FBF" w:rsidP="00270FBF">
            <w:pPr>
              <w:jc w:val="center"/>
              <w:rPr>
                <w:rFonts w:ascii="Calibri" w:hAnsi="Calibri" w:cs="Calibri"/>
              </w:rPr>
            </w:pPr>
            <w:r w:rsidRPr="00E92C22">
              <w:rPr>
                <w:rFonts w:ascii="Calibri" w:hAnsi="Calibri" w:cs="Calibri"/>
              </w:rPr>
              <w:t>102813</w:t>
            </w:r>
          </w:p>
        </w:tc>
        <w:tc>
          <w:tcPr>
            <w:tcW w:w="7371" w:type="dxa"/>
            <w:tcBorders>
              <w:top w:val="single" w:sz="4" w:space="0" w:color="auto"/>
              <w:left w:val="single" w:sz="4" w:space="0" w:color="auto"/>
              <w:bottom w:val="single" w:sz="4" w:space="0" w:color="auto"/>
              <w:right w:val="single" w:sz="4" w:space="0" w:color="auto"/>
            </w:tcBorders>
            <w:hideMark/>
          </w:tcPr>
          <w:p w14:paraId="671576A6" w14:textId="77777777" w:rsidR="00270FBF" w:rsidRPr="00E92C22" w:rsidRDefault="00270FBF" w:rsidP="00270FBF">
            <w:pPr>
              <w:rPr>
                <w:rFonts w:ascii="Calibri" w:hAnsi="Calibri" w:cs="Calibri"/>
              </w:rPr>
            </w:pPr>
            <w:r w:rsidRPr="00E92C22">
              <w:rPr>
                <w:rFonts w:ascii="Calibri" w:hAnsi="Calibri" w:cs="Calibri"/>
              </w:rPr>
              <w:t xml:space="preserve">Ryder M, Callahan M, </w:t>
            </w:r>
            <w:proofErr w:type="spellStart"/>
            <w:r w:rsidRPr="00E92C22">
              <w:rPr>
                <w:rFonts w:ascii="Calibri" w:hAnsi="Calibri" w:cs="Calibri"/>
              </w:rPr>
              <w:t>Postow</w:t>
            </w:r>
            <w:proofErr w:type="spellEnd"/>
            <w:r w:rsidRPr="00E92C22">
              <w:rPr>
                <w:rFonts w:ascii="Calibri" w:hAnsi="Calibri" w:cs="Calibri"/>
              </w:rPr>
              <w:t xml:space="preserve"> MA, et al (2014). Endocrine-related adverse events following ipilimumab in patients with advanced melanoma: a comprehensive retrospective review from a single institution. </w:t>
            </w:r>
            <w:proofErr w:type="spellStart"/>
            <w:r w:rsidRPr="00E92C22">
              <w:rPr>
                <w:rFonts w:ascii="Calibri" w:hAnsi="Calibri" w:cs="Calibri"/>
              </w:rPr>
              <w:t>Endocr</w:t>
            </w:r>
            <w:proofErr w:type="spellEnd"/>
            <w:r w:rsidRPr="00E92C22">
              <w:rPr>
                <w:rFonts w:ascii="Calibri" w:hAnsi="Calibri" w:cs="Calibri"/>
              </w:rPr>
              <w:t xml:space="preserve"> </w:t>
            </w:r>
            <w:proofErr w:type="spellStart"/>
            <w:r w:rsidRPr="00E92C22">
              <w:rPr>
                <w:rFonts w:ascii="Calibri" w:hAnsi="Calibri" w:cs="Calibri"/>
              </w:rPr>
              <w:t>Relat</w:t>
            </w:r>
            <w:proofErr w:type="spellEnd"/>
            <w:r w:rsidRPr="00E92C22">
              <w:rPr>
                <w:rFonts w:ascii="Calibri" w:hAnsi="Calibri" w:cs="Calibri"/>
              </w:rPr>
              <w:t xml:space="preserve"> Cancer, 21(2): 371-81.</w:t>
            </w:r>
          </w:p>
        </w:tc>
      </w:tr>
      <w:tr w:rsidR="00270FBF" w14:paraId="6A7A323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3ADF15C" w14:textId="77777777" w:rsidR="00270FBF" w:rsidRPr="00E92C22" w:rsidRDefault="00270FBF" w:rsidP="00270FBF">
            <w:pPr>
              <w:jc w:val="center"/>
              <w:rPr>
                <w:rFonts w:ascii="Calibri" w:hAnsi="Calibri" w:cs="Calibri"/>
              </w:rPr>
            </w:pPr>
            <w:r w:rsidRPr="00E92C22">
              <w:rPr>
                <w:rFonts w:ascii="Calibri" w:hAnsi="Calibri" w:cs="Calibri"/>
              </w:rPr>
              <w:t>102814</w:t>
            </w:r>
          </w:p>
        </w:tc>
        <w:tc>
          <w:tcPr>
            <w:tcW w:w="7371" w:type="dxa"/>
            <w:tcBorders>
              <w:top w:val="single" w:sz="4" w:space="0" w:color="auto"/>
              <w:left w:val="single" w:sz="4" w:space="0" w:color="auto"/>
              <w:bottom w:val="single" w:sz="4" w:space="0" w:color="auto"/>
              <w:right w:val="single" w:sz="4" w:space="0" w:color="auto"/>
            </w:tcBorders>
            <w:hideMark/>
          </w:tcPr>
          <w:p w14:paraId="231151C2" w14:textId="77777777" w:rsidR="00270FBF" w:rsidRPr="00E92C22" w:rsidRDefault="00270FBF" w:rsidP="00270FBF">
            <w:pPr>
              <w:rPr>
                <w:rFonts w:ascii="Calibri" w:hAnsi="Calibri" w:cs="Calibri"/>
              </w:rPr>
            </w:pPr>
            <w:r w:rsidRPr="00E92C22">
              <w:rPr>
                <w:rFonts w:ascii="Calibri" w:hAnsi="Calibri" w:cs="Calibri"/>
              </w:rPr>
              <w:t xml:space="preserve">Sag E, </w:t>
            </w:r>
            <w:proofErr w:type="spellStart"/>
            <w:r w:rsidRPr="00E92C22">
              <w:rPr>
                <w:rFonts w:ascii="Calibri" w:hAnsi="Calibri" w:cs="Calibri"/>
              </w:rPr>
              <w:t>Gonc</w:t>
            </w:r>
            <w:proofErr w:type="spellEnd"/>
            <w:r w:rsidRPr="00E92C22">
              <w:rPr>
                <w:rFonts w:ascii="Calibri" w:hAnsi="Calibri" w:cs="Calibri"/>
              </w:rPr>
              <w:t xml:space="preserve"> N, </w:t>
            </w:r>
            <w:proofErr w:type="spellStart"/>
            <w:r w:rsidRPr="00E92C22">
              <w:rPr>
                <w:rFonts w:ascii="Calibri" w:hAnsi="Calibri" w:cs="Calibri"/>
              </w:rPr>
              <w:t>Alikasifoglu</w:t>
            </w:r>
            <w:proofErr w:type="spellEnd"/>
            <w:r w:rsidRPr="00E92C22">
              <w:rPr>
                <w:rFonts w:ascii="Calibri" w:hAnsi="Calibri" w:cs="Calibri"/>
              </w:rPr>
              <w:t xml:space="preserve"> A, et al (2015). Hyperthyroidism after allogeneic hematopoietic stem cell transplantation: A report of four cases. J Clin Res </w:t>
            </w:r>
            <w:proofErr w:type="spellStart"/>
            <w:r w:rsidRPr="00E92C22">
              <w:rPr>
                <w:rFonts w:ascii="Calibri" w:hAnsi="Calibri" w:cs="Calibri"/>
              </w:rPr>
              <w:t>Pediatr</w:t>
            </w:r>
            <w:proofErr w:type="spellEnd"/>
            <w:r w:rsidRPr="00E92C22">
              <w:rPr>
                <w:rFonts w:ascii="Calibri" w:hAnsi="Calibri" w:cs="Calibri"/>
              </w:rPr>
              <w:t xml:space="preserve"> Endocrinol, 7(4): 349-54.</w:t>
            </w:r>
          </w:p>
        </w:tc>
      </w:tr>
      <w:tr w:rsidR="00270FBF" w14:paraId="307FB86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CE4CD9A" w14:textId="77777777" w:rsidR="00270FBF" w:rsidRPr="00E92C22" w:rsidRDefault="00270FBF" w:rsidP="00270FBF">
            <w:pPr>
              <w:jc w:val="center"/>
              <w:rPr>
                <w:rFonts w:ascii="Calibri" w:hAnsi="Calibri" w:cs="Calibri"/>
              </w:rPr>
            </w:pPr>
            <w:r w:rsidRPr="00E92C22">
              <w:rPr>
                <w:rFonts w:ascii="Calibri" w:hAnsi="Calibri" w:cs="Calibri"/>
              </w:rPr>
              <w:t>65897</w:t>
            </w:r>
          </w:p>
        </w:tc>
        <w:tc>
          <w:tcPr>
            <w:tcW w:w="7371" w:type="dxa"/>
            <w:tcBorders>
              <w:top w:val="single" w:sz="4" w:space="0" w:color="auto"/>
              <w:left w:val="single" w:sz="4" w:space="0" w:color="auto"/>
              <w:bottom w:val="single" w:sz="4" w:space="0" w:color="auto"/>
              <w:right w:val="single" w:sz="4" w:space="0" w:color="auto"/>
            </w:tcBorders>
            <w:hideMark/>
          </w:tcPr>
          <w:p w14:paraId="20B08F8C" w14:textId="77777777" w:rsidR="00270FBF" w:rsidRPr="00E92C22" w:rsidRDefault="00270FBF" w:rsidP="00270FBF">
            <w:pPr>
              <w:rPr>
                <w:rFonts w:ascii="Calibri" w:hAnsi="Calibri" w:cs="Calibri"/>
              </w:rPr>
            </w:pPr>
            <w:r w:rsidRPr="00E92C22">
              <w:rPr>
                <w:rFonts w:ascii="Calibri" w:hAnsi="Calibri" w:cs="Calibri"/>
              </w:rPr>
              <w:t>Sakurai K, Fukazawa H, Arihara Z, et al (2010). Sunitinib-induced thyrotoxicosis followed by persistent hypothyroidism with shrinkage of thyroid volume. Tohoku J Exp Med, 222(1): 39-44.</w:t>
            </w:r>
          </w:p>
        </w:tc>
      </w:tr>
      <w:tr w:rsidR="00270FBF" w14:paraId="786910B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ED28A15" w14:textId="77777777" w:rsidR="00270FBF" w:rsidRPr="00E92C22" w:rsidRDefault="00270FBF" w:rsidP="00270FBF">
            <w:pPr>
              <w:jc w:val="center"/>
              <w:rPr>
                <w:rFonts w:ascii="Calibri" w:hAnsi="Calibri" w:cs="Calibri"/>
              </w:rPr>
            </w:pPr>
            <w:r w:rsidRPr="00E92C22">
              <w:rPr>
                <w:rFonts w:ascii="Calibri" w:hAnsi="Calibri" w:cs="Calibri"/>
              </w:rPr>
              <w:t>67073</w:t>
            </w:r>
          </w:p>
        </w:tc>
        <w:tc>
          <w:tcPr>
            <w:tcW w:w="7371" w:type="dxa"/>
            <w:tcBorders>
              <w:top w:val="single" w:sz="4" w:space="0" w:color="auto"/>
              <w:left w:val="single" w:sz="4" w:space="0" w:color="auto"/>
              <w:bottom w:val="single" w:sz="4" w:space="0" w:color="auto"/>
              <w:right w:val="single" w:sz="4" w:space="0" w:color="auto"/>
            </w:tcBorders>
            <w:hideMark/>
          </w:tcPr>
          <w:p w14:paraId="5E081DB8" w14:textId="77777777" w:rsidR="00270FBF" w:rsidRPr="00E92C22" w:rsidRDefault="00270FBF" w:rsidP="00270FBF">
            <w:pPr>
              <w:rPr>
                <w:rFonts w:ascii="Calibri" w:hAnsi="Calibri" w:cs="Calibri"/>
              </w:rPr>
            </w:pPr>
            <w:r w:rsidRPr="00E92C22">
              <w:rPr>
                <w:rFonts w:ascii="Calibri" w:hAnsi="Calibri" w:cs="Calibri"/>
              </w:rPr>
              <w:t xml:space="preserve">Saranac L, Zivanovic S, </w:t>
            </w:r>
            <w:proofErr w:type="spellStart"/>
            <w:r w:rsidRPr="00E92C22">
              <w:rPr>
                <w:rFonts w:ascii="Calibri" w:hAnsi="Calibri" w:cs="Calibri"/>
              </w:rPr>
              <w:t>Bjelakovic</w:t>
            </w:r>
            <w:proofErr w:type="spellEnd"/>
            <w:r w:rsidRPr="00E92C22">
              <w:rPr>
                <w:rFonts w:ascii="Calibri" w:hAnsi="Calibri" w:cs="Calibri"/>
              </w:rPr>
              <w:t xml:space="preserve"> B, et al (2011). Why is the thyroid so prone to autoimmune disease? Horm Res </w:t>
            </w:r>
            <w:proofErr w:type="spellStart"/>
            <w:r w:rsidRPr="00E92C22">
              <w:rPr>
                <w:rFonts w:ascii="Calibri" w:hAnsi="Calibri" w:cs="Calibri"/>
              </w:rPr>
              <w:t>Paediatr</w:t>
            </w:r>
            <w:proofErr w:type="spellEnd"/>
            <w:r w:rsidRPr="00E92C22">
              <w:rPr>
                <w:rFonts w:ascii="Calibri" w:hAnsi="Calibri" w:cs="Calibri"/>
              </w:rPr>
              <w:t>, 75(3): 157-65.</w:t>
            </w:r>
          </w:p>
        </w:tc>
      </w:tr>
      <w:tr w:rsidR="00270FBF" w14:paraId="0A07B92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1B3BD8F" w14:textId="77777777" w:rsidR="00270FBF" w:rsidRPr="00E92C22" w:rsidRDefault="00270FBF" w:rsidP="00270FBF">
            <w:pPr>
              <w:jc w:val="center"/>
              <w:rPr>
                <w:rFonts w:ascii="Calibri" w:hAnsi="Calibri" w:cs="Calibri"/>
              </w:rPr>
            </w:pPr>
            <w:r w:rsidRPr="00E92C22">
              <w:rPr>
                <w:rFonts w:ascii="Calibri" w:hAnsi="Calibri" w:cs="Calibri"/>
              </w:rPr>
              <w:t>65369</w:t>
            </w:r>
          </w:p>
        </w:tc>
        <w:tc>
          <w:tcPr>
            <w:tcW w:w="7371" w:type="dxa"/>
            <w:tcBorders>
              <w:top w:val="single" w:sz="4" w:space="0" w:color="auto"/>
              <w:left w:val="single" w:sz="4" w:space="0" w:color="auto"/>
              <w:bottom w:val="single" w:sz="4" w:space="0" w:color="auto"/>
              <w:right w:val="single" w:sz="4" w:space="0" w:color="auto"/>
            </w:tcBorders>
            <w:hideMark/>
          </w:tcPr>
          <w:p w14:paraId="177BF8E2" w14:textId="77777777" w:rsidR="00270FBF" w:rsidRPr="00E92C22" w:rsidRDefault="00270FBF" w:rsidP="00270FBF">
            <w:pPr>
              <w:rPr>
                <w:rFonts w:ascii="Calibri" w:hAnsi="Calibri" w:cs="Calibri"/>
              </w:rPr>
            </w:pPr>
            <w:r w:rsidRPr="00E92C22">
              <w:rPr>
                <w:rFonts w:ascii="Calibri" w:hAnsi="Calibri" w:cs="Calibri"/>
              </w:rPr>
              <w:t xml:space="preserve">Savvas SP, Papakostas N, Giannaris M, et al (2010). Interferon alpha-induced </w:t>
            </w:r>
            <w:proofErr w:type="spellStart"/>
            <w:r w:rsidRPr="00E92C22">
              <w:rPr>
                <w:rFonts w:ascii="Calibri" w:hAnsi="Calibri" w:cs="Calibri"/>
              </w:rPr>
              <w:t>hashimoto</w:t>
            </w:r>
            <w:proofErr w:type="spellEnd"/>
            <w:r w:rsidRPr="00E92C22">
              <w:rPr>
                <w:rFonts w:ascii="Calibri" w:hAnsi="Calibri" w:cs="Calibri"/>
              </w:rPr>
              <w:t xml:space="preserve"> thyroiditis followed by transient </w:t>
            </w:r>
            <w:proofErr w:type="spellStart"/>
            <w:r w:rsidRPr="00E92C22">
              <w:rPr>
                <w:rFonts w:ascii="Calibri" w:hAnsi="Calibri" w:cs="Calibri"/>
              </w:rPr>
              <w:t>graves</w:t>
            </w:r>
            <w:proofErr w:type="spellEnd"/>
            <w:r w:rsidRPr="00E92C22">
              <w:rPr>
                <w:rFonts w:ascii="Calibri" w:hAnsi="Calibri" w:cs="Calibri"/>
              </w:rPr>
              <w:t xml:space="preserve"> disease in a patient with chronic HCV infection. South Med J, 103(6): 585-8.</w:t>
            </w:r>
          </w:p>
        </w:tc>
      </w:tr>
      <w:tr w:rsidR="00270FBF" w14:paraId="67CC55A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5574989" w14:textId="77777777" w:rsidR="00270FBF" w:rsidRPr="00E92C22" w:rsidRDefault="00270FBF" w:rsidP="00270FBF">
            <w:pPr>
              <w:jc w:val="center"/>
              <w:rPr>
                <w:rFonts w:ascii="Calibri" w:hAnsi="Calibri" w:cs="Calibri"/>
              </w:rPr>
            </w:pPr>
            <w:r w:rsidRPr="00E92C22">
              <w:rPr>
                <w:rFonts w:ascii="Calibri" w:hAnsi="Calibri" w:cs="Calibri"/>
              </w:rPr>
              <w:t>67012</w:t>
            </w:r>
          </w:p>
        </w:tc>
        <w:tc>
          <w:tcPr>
            <w:tcW w:w="7371" w:type="dxa"/>
            <w:tcBorders>
              <w:top w:val="single" w:sz="4" w:space="0" w:color="auto"/>
              <w:left w:val="single" w:sz="4" w:space="0" w:color="auto"/>
              <w:bottom w:val="single" w:sz="4" w:space="0" w:color="auto"/>
              <w:right w:val="single" w:sz="4" w:space="0" w:color="auto"/>
            </w:tcBorders>
            <w:hideMark/>
          </w:tcPr>
          <w:p w14:paraId="60ACFF55" w14:textId="77777777" w:rsidR="00270FBF" w:rsidRPr="00E92C22" w:rsidRDefault="00270FBF" w:rsidP="00270FBF">
            <w:pPr>
              <w:rPr>
                <w:rFonts w:ascii="Calibri" w:hAnsi="Calibri" w:cs="Calibri"/>
              </w:rPr>
            </w:pPr>
            <w:proofErr w:type="spellStart"/>
            <w:r w:rsidRPr="00E92C22">
              <w:rPr>
                <w:rFonts w:ascii="Calibri" w:hAnsi="Calibri" w:cs="Calibri"/>
              </w:rPr>
              <w:t>Schreinemachers</w:t>
            </w:r>
            <w:proofErr w:type="spellEnd"/>
            <w:r w:rsidRPr="00E92C22">
              <w:rPr>
                <w:rFonts w:ascii="Calibri" w:hAnsi="Calibri" w:cs="Calibri"/>
              </w:rPr>
              <w:t xml:space="preserve"> DM (2010). Perturbation of lipids and glucose metabolism associated with previous 2,4-D exposure: a cross-sectional study of NHANES III data, 1988-1994. Environ Health, 9: 11.</w:t>
            </w:r>
          </w:p>
        </w:tc>
      </w:tr>
      <w:tr w:rsidR="00270FBF" w14:paraId="6B1AF7D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4FF4947" w14:textId="77777777" w:rsidR="00270FBF" w:rsidRPr="00E92C22" w:rsidRDefault="00270FBF" w:rsidP="00270FBF">
            <w:pPr>
              <w:jc w:val="center"/>
              <w:rPr>
                <w:rFonts w:ascii="Calibri" w:hAnsi="Calibri" w:cs="Calibri"/>
              </w:rPr>
            </w:pPr>
            <w:r w:rsidRPr="00E92C22">
              <w:rPr>
                <w:rFonts w:ascii="Calibri" w:hAnsi="Calibri" w:cs="Calibri"/>
              </w:rPr>
              <w:t>102935</w:t>
            </w:r>
          </w:p>
        </w:tc>
        <w:tc>
          <w:tcPr>
            <w:tcW w:w="7371" w:type="dxa"/>
            <w:tcBorders>
              <w:top w:val="single" w:sz="4" w:space="0" w:color="auto"/>
              <w:left w:val="single" w:sz="4" w:space="0" w:color="auto"/>
              <w:bottom w:val="single" w:sz="4" w:space="0" w:color="auto"/>
              <w:right w:val="single" w:sz="4" w:space="0" w:color="auto"/>
            </w:tcBorders>
            <w:hideMark/>
          </w:tcPr>
          <w:p w14:paraId="70AAFF8F" w14:textId="77777777" w:rsidR="00270FBF" w:rsidRPr="00E92C22" w:rsidRDefault="00270FBF" w:rsidP="00270FBF">
            <w:pPr>
              <w:rPr>
                <w:rFonts w:ascii="Calibri" w:hAnsi="Calibri" w:cs="Calibri"/>
              </w:rPr>
            </w:pPr>
            <w:r w:rsidRPr="00E92C22">
              <w:rPr>
                <w:rFonts w:ascii="Calibri" w:hAnsi="Calibri" w:cs="Calibri"/>
              </w:rPr>
              <w:t xml:space="preserve">Shahbaz A, Aziz K, Umair M, et al (2018). Prolonged duration of </w:t>
            </w:r>
            <w:proofErr w:type="spellStart"/>
            <w:r w:rsidRPr="00E92C22">
              <w:rPr>
                <w:rFonts w:ascii="Calibri" w:hAnsi="Calibri" w:cs="Calibri"/>
              </w:rPr>
              <w:t>hashitoxicosis</w:t>
            </w:r>
            <w:proofErr w:type="spellEnd"/>
            <w:r w:rsidRPr="00E92C22">
              <w:rPr>
                <w:rFonts w:ascii="Calibri" w:hAnsi="Calibri" w:cs="Calibri"/>
              </w:rPr>
              <w:t xml:space="preserve"> in a patient with Hashimoto’s thyroiditis: A case report and review of literature. </w:t>
            </w:r>
            <w:proofErr w:type="spellStart"/>
            <w:r w:rsidRPr="00E92C22">
              <w:rPr>
                <w:rFonts w:ascii="Calibri" w:hAnsi="Calibri" w:cs="Calibri"/>
              </w:rPr>
              <w:t>Cureus</w:t>
            </w:r>
            <w:proofErr w:type="spellEnd"/>
            <w:r w:rsidRPr="00E92C22">
              <w:rPr>
                <w:rFonts w:ascii="Calibri" w:hAnsi="Calibri" w:cs="Calibri"/>
              </w:rPr>
              <w:t>, 10(6): e2804.</w:t>
            </w:r>
          </w:p>
        </w:tc>
      </w:tr>
      <w:tr w:rsidR="00270FBF" w14:paraId="1DC76E9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4A242A1" w14:textId="77777777" w:rsidR="00270FBF" w:rsidRPr="00E92C22" w:rsidRDefault="00270FBF" w:rsidP="00270FBF">
            <w:pPr>
              <w:jc w:val="center"/>
              <w:rPr>
                <w:rFonts w:ascii="Calibri" w:hAnsi="Calibri" w:cs="Calibri"/>
              </w:rPr>
            </w:pPr>
            <w:r w:rsidRPr="00E92C22">
              <w:rPr>
                <w:rFonts w:ascii="Calibri" w:hAnsi="Calibri" w:cs="Calibri"/>
              </w:rPr>
              <w:t>102815</w:t>
            </w:r>
          </w:p>
        </w:tc>
        <w:tc>
          <w:tcPr>
            <w:tcW w:w="7371" w:type="dxa"/>
            <w:tcBorders>
              <w:top w:val="single" w:sz="4" w:space="0" w:color="auto"/>
              <w:left w:val="single" w:sz="4" w:space="0" w:color="auto"/>
              <w:bottom w:val="single" w:sz="4" w:space="0" w:color="auto"/>
              <w:right w:val="single" w:sz="4" w:space="0" w:color="auto"/>
            </w:tcBorders>
            <w:hideMark/>
          </w:tcPr>
          <w:p w14:paraId="5FE2E065" w14:textId="77777777" w:rsidR="00270FBF" w:rsidRPr="00E92C22" w:rsidRDefault="00270FBF" w:rsidP="00270FBF">
            <w:pPr>
              <w:rPr>
                <w:rFonts w:ascii="Calibri" w:hAnsi="Calibri" w:cs="Calibri"/>
              </w:rPr>
            </w:pPr>
            <w:r w:rsidRPr="00E92C22">
              <w:rPr>
                <w:rFonts w:ascii="Calibri" w:hAnsi="Calibri" w:cs="Calibri"/>
              </w:rPr>
              <w:t>Sheehan MT, Doi SA (2016). Transient hypothyroidism after radioiodine for Graves' disease: Challenges in interpreting thyroid function tests. Clin Med Res, 14(1): 40-5.</w:t>
            </w:r>
          </w:p>
        </w:tc>
      </w:tr>
      <w:tr w:rsidR="00270FBF" w14:paraId="6A4BCB1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6EA5FEA" w14:textId="77777777" w:rsidR="00270FBF" w:rsidRPr="00E92C22" w:rsidRDefault="00270FBF" w:rsidP="00270FBF">
            <w:pPr>
              <w:jc w:val="center"/>
              <w:rPr>
                <w:rFonts w:ascii="Calibri" w:hAnsi="Calibri" w:cs="Calibri"/>
              </w:rPr>
            </w:pPr>
            <w:r w:rsidRPr="00E92C22">
              <w:rPr>
                <w:rFonts w:ascii="Calibri" w:hAnsi="Calibri" w:cs="Calibri"/>
              </w:rPr>
              <w:t>101716</w:t>
            </w:r>
          </w:p>
        </w:tc>
        <w:tc>
          <w:tcPr>
            <w:tcW w:w="7371" w:type="dxa"/>
            <w:tcBorders>
              <w:top w:val="single" w:sz="4" w:space="0" w:color="auto"/>
              <w:left w:val="single" w:sz="4" w:space="0" w:color="auto"/>
              <w:bottom w:val="single" w:sz="4" w:space="0" w:color="auto"/>
              <w:right w:val="single" w:sz="4" w:space="0" w:color="auto"/>
            </w:tcBorders>
            <w:hideMark/>
          </w:tcPr>
          <w:p w14:paraId="686E4B4E" w14:textId="77777777" w:rsidR="00270FBF" w:rsidRPr="00E92C22" w:rsidRDefault="00270FBF" w:rsidP="00270FBF">
            <w:pPr>
              <w:rPr>
                <w:rFonts w:ascii="Calibri" w:hAnsi="Calibri" w:cs="Calibri"/>
              </w:rPr>
            </w:pPr>
            <w:r w:rsidRPr="00E92C22">
              <w:rPr>
                <w:rFonts w:ascii="Calibri" w:hAnsi="Calibri" w:cs="Calibri"/>
              </w:rPr>
              <w:t xml:space="preserve">Shen Y, Wang XL, Xie JP, et al (2016). Thyroid disturbance in patients with chronic hepatitis C infection: A systematic review and meta-analysis. J </w:t>
            </w:r>
            <w:proofErr w:type="spellStart"/>
            <w:r w:rsidRPr="00E92C22">
              <w:rPr>
                <w:rFonts w:ascii="Calibri" w:hAnsi="Calibri" w:cs="Calibri"/>
              </w:rPr>
              <w:t>Gastrointestin</w:t>
            </w:r>
            <w:proofErr w:type="spellEnd"/>
            <w:r w:rsidRPr="00E92C22">
              <w:rPr>
                <w:rFonts w:ascii="Calibri" w:hAnsi="Calibri" w:cs="Calibri"/>
              </w:rPr>
              <w:t xml:space="preserve"> Liver Dis, 25(2): 227-34.</w:t>
            </w:r>
          </w:p>
        </w:tc>
      </w:tr>
      <w:tr w:rsidR="00270FBF" w14:paraId="60AA76D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8BC51A7" w14:textId="77777777" w:rsidR="00270FBF" w:rsidRPr="00E92C22" w:rsidRDefault="00270FBF" w:rsidP="00270FBF">
            <w:pPr>
              <w:jc w:val="center"/>
              <w:rPr>
                <w:rFonts w:ascii="Calibri" w:hAnsi="Calibri" w:cs="Calibri"/>
              </w:rPr>
            </w:pPr>
            <w:r w:rsidRPr="00E92C22">
              <w:rPr>
                <w:rFonts w:ascii="Calibri" w:hAnsi="Calibri" w:cs="Calibri"/>
              </w:rPr>
              <w:t>44990</w:t>
            </w:r>
          </w:p>
        </w:tc>
        <w:tc>
          <w:tcPr>
            <w:tcW w:w="7371" w:type="dxa"/>
            <w:tcBorders>
              <w:top w:val="single" w:sz="4" w:space="0" w:color="auto"/>
              <w:left w:val="single" w:sz="4" w:space="0" w:color="auto"/>
              <w:bottom w:val="single" w:sz="4" w:space="0" w:color="auto"/>
              <w:right w:val="single" w:sz="4" w:space="0" w:color="auto"/>
            </w:tcBorders>
            <w:hideMark/>
          </w:tcPr>
          <w:p w14:paraId="6B957B5C" w14:textId="77777777" w:rsidR="00270FBF" w:rsidRPr="00E92C22" w:rsidRDefault="00270FBF" w:rsidP="00270FBF">
            <w:pPr>
              <w:rPr>
                <w:rFonts w:ascii="Calibri" w:hAnsi="Calibri" w:cs="Calibri"/>
              </w:rPr>
            </w:pPr>
            <w:proofErr w:type="spellStart"/>
            <w:r w:rsidRPr="00E92C22">
              <w:rPr>
                <w:rFonts w:ascii="Calibri" w:hAnsi="Calibri" w:cs="Calibri"/>
              </w:rPr>
              <w:t>Shilnikova</w:t>
            </w:r>
            <w:proofErr w:type="spellEnd"/>
            <w:r w:rsidRPr="00E92C22">
              <w:rPr>
                <w:rFonts w:ascii="Calibri" w:hAnsi="Calibri" w:cs="Calibri"/>
              </w:rPr>
              <w:t xml:space="preserve"> NS, Preston DL, Ron E, et al (2003). Cancer mortality risk among workers at the Mayak nuclear complex. </w:t>
            </w:r>
            <w:proofErr w:type="spellStart"/>
            <w:r w:rsidRPr="00E92C22">
              <w:rPr>
                <w:rFonts w:ascii="Calibri" w:hAnsi="Calibri" w:cs="Calibri"/>
              </w:rPr>
              <w:t>Radiat</w:t>
            </w:r>
            <w:proofErr w:type="spellEnd"/>
            <w:r w:rsidRPr="00E92C22">
              <w:rPr>
                <w:rFonts w:ascii="Calibri" w:hAnsi="Calibri" w:cs="Calibri"/>
              </w:rPr>
              <w:t xml:space="preserve"> Res, 159(6): 787-98.</w:t>
            </w:r>
          </w:p>
        </w:tc>
      </w:tr>
      <w:tr w:rsidR="00270FBF" w14:paraId="72BD7BB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69D66FB" w14:textId="77777777" w:rsidR="00270FBF" w:rsidRPr="00E92C22" w:rsidRDefault="00270FBF" w:rsidP="00270FBF">
            <w:pPr>
              <w:jc w:val="center"/>
              <w:rPr>
                <w:rFonts w:ascii="Calibri" w:hAnsi="Calibri" w:cs="Calibri"/>
              </w:rPr>
            </w:pPr>
            <w:r w:rsidRPr="00E92C22">
              <w:rPr>
                <w:rFonts w:ascii="Calibri" w:hAnsi="Calibri" w:cs="Calibri"/>
              </w:rPr>
              <w:lastRenderedPageBreak/>
              <w:t>99488</w:t>
            </w:r>
          </w:p>
        </w:tc>
        <w:tc>
          <w:tcPr>
            <w:tcW w:w="7371" w:type="dxa"/>
            <w:tcBorders>
              <w:top w:val="single" w:sz="4" w:space="0" w:color="auto"/>
              <w:left w:val="single" w:sz="4" w:space="0" w:color="auto"/>
              <w:bottom w:val="single" w:sz="4" w:space="0" w:color="auto"/>
              <w:right w:val="single" w:sz="4" w:space="0" w:color="auto"/>
            </w:tcBorders>
            <w:hideMark/>
          </w:tcPr>
          <w:p w14:paraId="5F8454FE" w14:textId="77777777" w:rsidR="00270FBF" w:rsidRPr="00E92C22" w:rsidRDefault="00270FBF" w:rsidP="00270FBF">
            <w:pPr>
              <w:rPr>
                <w:rFonts w:ascii="Calibri" w:hAnsi="Calibri" w:cs="Calibri"/>
              </w:rPr>
            </w:pPr>
            <w:r w:rsidRPr="00E92C22">
              <w:rPr>
                <w:rFonts w:ascii="Calibri" w:hAnsi="Calibri" w:cs="Calibri"/>
              </w:rPr>
              <w:t>Shrestha S, Parks CG, Goldner WS, et al (2018). Incident thyroid disease in female spouses of private pesticide applicators. Environ Int, 118: 282-92.</w:t>
            </w:r>
          </w:p>
        </w:tc>
      </w:tr>
      <w:tr w:rsidR="00270FBF" w14:paraId="080F0F1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A4148AB" w14:textId="77777777" w:rsidR="00270FBF" w:rsidRPr="00E92C22" w:rsidRDefault="00270FBF" w:rsidP="00270FBF">
            <w:pPr>
              <w:jc w:val="center"/>
              <w:rPr>
                <w:rFonts w:ascii="Calibri" w:hAnsi="Calibri" w:cs="Calibri"/>
              </w:rPr>
            </w:pPr>
            <w:r w:rsidRPr="00E92C22">
              <w:rPr>
                <w:rFonts w:ascii="Calibri" w:hAnsi="Calibri" w:cs="Calibri"/>
              </w:rPr>
              <w:t>102731</w:t>
            </w:r>
          </w:p>
        </w:tc>
        <w:tc>
          <w:tcPr>
            <w:tcW w:w="7371" w:type="dxa"/>
            <w:tcBorders>
              <w:top w:val="single" w:sz="4" w:space="0" w:color="auto"/>
              <w:left w:val="single" w:sz="4" w:space="0" w:color="auto"/>
              <w:bottom w:val="single" w:sz="4" w:space="0" w:color="auto"/>
              <w:right w:val="single" w:sz="4" w:space="0" w:color="auto"/>
            </w:tcBorders>
            <w:hideMark/>
          </w:tcPr>
          <w:p w14:paraId="658DB2BE" w14:textId="77777777" w:rsidR="00270FBF" w:rsidRPr="00E92C22" w:rsidRDefault="00270FBF" w:rsidP="00270FBF">
            <w:pPr>
              <w:rPr>
                <w:rFonts w:ascii="Calibri" w:hAnsi="Calibri" w:cs="Calibri"/>
              </w:rPr>
            </w:pPr>
            <w:r w:rsidRPr="00E92C22">
              <w:rPr>
                <w:rFonts w:ascii="Calibri" w:hAnsi="Calibri" w:cs="Calibri"/>
              </w:rPr>
              <w:t xml:space="preserve">Shrestha S, Parks CG, Goldner WS, et al (2018). Pesticide use and incident hypothyroidism in pesticide applicators in the Agricultural Health Study. Environ Health </w:t>
            </w:r>
            <w:proofErr w:type="spellStart"/>
            <w:r w:rsidRPr="00E92C22">
              <w:rPr>
                <w:rFonts w:ascii="Calibri" w:hAnsi="Calibri" w:cs="Calibri"/>
              </w:rPr>
              <w:t>Perspect</w:t>
            </w:r>
            <w:proofErr w:type="spellEnd"/>
            <w:r w:rsidRPr="00E92C22">
              <w:rPr>
                <w:rFonts w:ascii="Calibri" w:hAnsi="Calibri" w:cs="Calibri"/>
              </w:rPr>
              <w:t>, 126(9): 97008.</w:t>
            </w:r>
          </w:p>
        </w:tc>
      </w:tr>
      <w:tr w:rsidR="00270FBF" w14:paraId="1B9BF53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4C1FC88" w14:textId="77777777" w:rsidR="00270FBF" w:rsidRPr="00E92C22" w:rsidRDefault="00270FBF" w:rsidP="00270FBF">
            <w:pPr>
              <w:jc w:val="center"/>
              <w:rPr>
                <w:rFonts w:ascii="Calibri" w:hAnsi="Calibri" w:cs="Calibri"/>
              </w:rPr>
            </w:pPr>
            <w:r w:rsidRPr="00E92C22">
              <w:rPr>
                <w:rFonts w:ascii="Calibri" w:hAnsi="Calibri" w:cs="Calibri"/>
              </w:rPr>
              <w:t>65383</w:t>
            </w:r>
          </w:p>
        </w:tc>
        <w:tc>
          <w:tcPr>
            <w:tcW w:w="7371" w:type="dxa"/>
            <w:tcBorders>
              <w:top w:val="single" w:sz="4" w:space="0" w:color="auto"/>
              <w:left w:val="single" w:sz="4" w:space="0" w:color="auto"/>
              <w:bottom w:val="single" w:sz="4" w:space="0" w:color="auto"/>
              <w:right w:val="single" w:sz="4" w:space="0" w:color="auto"/>
            </w:tcBorders>
            <w:hideMark/>
          </w:tcPr>
          <w:p w14:paraId="6101C2D3" w14:textId="77777777" w:rsidR="00270FBF" w:rsidRPr="00E92C22" w:rsidRDefault="00270FBF" w:rsidP="00270FBF">
            <w:pPr>
              <w:rPr>
                <w:rFonts w:ascii="Calibri" w:hAnsi="Calibri" w:cs="Calibri"/>
              </w:rPr>
            </w:pPr>
            <w:r w:rsidRPr="00E92C22">
              <w:rPr>
                <w:rFonts w:ascii="Calibri" w:hAnsi="Calibri" w:cs="Calibri"/>
              </w:rPr>
              <w:t>Singh N, Kumar S, Negi VS, et al (2009). Cytomorphologic study of Hashimoto's thyroiditis and its serologic correlation: a study of 150 cases. Acta Cytol, 53(5): 507-16.</w:t>
            </w:r>
          </w:p>
        </w:tc>
      </w:tr>
      <w:tr w:rsidR="00270FBF" w14:paraId="7240AF5C"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91A18CA" w14:textId="77777777" w:rsidR="00270FBF" w:rsidRPr="00E92C22" w:rsidRDefault="00270FBF" w:rsidP="00270FBF">
            <w:pPr>
              <w:jc w:val="center"/>
              <w:rPr>
                <w:rFonts w:ascii="Calibri" w:hAnsi="Calibri" w:cs="Calibri"/>
              </w:rPr>
            </w:pPr>
            <w:r w:rsidRPr="00E92C22">
              <w:rPr>
                <w:rFonts w:ascii="Calibri" w:hAnsi="Calibri" w:cs="Calibri"/>
              </w:rPr>
              <w:t>65370</w:t>
            </w:r>
          </w:p>
        </w:tc>
        <w:tc>
          <w:tcPr>
            <w:tcW w:w="7371" w:type="dxa"/>
            <w:tcBorders>
              <w:top w:val="single" w:sz="4" w:space="0" w:color="auto"/>
              <w:left w:val="single" w:sz="4" w:space="0" w:color="auto"/>
              <w:bottom w:val="single" w:sz="4" w:space="0" w:color="auto"/>
              <w:right w:val="single" w:sz="4" w:space="0" w:color="auto"/>
            </w:tcBorders>
            <w:hideMark/>
          </w:tcPr>
          <w:p w14:paraId="0935DBDF" w14:textId="77777777" w:rsidR="00270FBF" w:rsidRPr="00E92C22" w:rsidRDefault="00270FBF" w:rsidP="00270FBF">
            <w:pPr>
              <w:rPr>
                <w:rFonts w:ascii="Calibri" w:hAnsi="Calibri" w:cs="Calibri"/>
              </w:rPr>
            </w:pPr>
            <w:r w:rsidRPr="00E92C22">
              <w:rPr>
                <w:rFonts w:ascii="Calibri" w:hAnsi="Calibri" w:cs="Calibri"/>
              </w:rPr>
              <w:t xml:space="preserve">Sisto M, Cucci L, </w:t>
            </w:r>
            <w:proofErr w:type="spellStart"/>
            <w:r w:rsidRPr="00E92C22">
              <w:rPr>
                <w:rFonts w:ascii="Calibri" w:hAnsi="Calibri" w:cs="Calibri"/>
              </w:rPr>
              <w:t>D'Amore</w:t>
            </w:r>
            <w:proofErr w:type="spellEnd"/>
            <w:r w:rsidRPr="00E92C22">
              <w:rPr>
                <w:rFonts w:ascii="Calibri" w:hAnsi="Calibri" w:cs="Calibri"/>
              </w:rPr>
              <w:t xml:space="preserve"> M, et al (2010). Proposing a relationship between Mycobacterium avium subspecies paratuberculosis infection and Hashimoto's thyroiditis. Scand J Infect Dis, 42(10): 787-90.</w:t>
            </w:r>
          </w:p>
        </w:tc>
      </w:tr>
      <w:tr w:rsidR="00270FBF" w14:paraId="4577FBF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69442DA" w14:textId="77777777" w:rsidR="00270FBF" w:rsidRPr="00E92C22" w:rsidRDefault="00270FBF" w:rsidP="00270FBF">
            <w:pPr>
              <w:jc w:val="center"/>
              <w:rPr>
                <w:rFonts w:ascii="Calibri" w:hAnsi="Calibri" w:cs="Calibri"/>
              </w:rPr>
            </w:pPr>
            <w:r w:rsidRPr="00E92C22">
              <w:rPr>
                <w:rFonts w:ascii="Calibri" w:hAnsi="Calibri" w:cs="Calibri"/>
              </w:rPr>
              <w:t>35846</w:t>
            </w:r>
          </w:p>
        </w:tc>
        <w:tc>
          <w:tcPr>
            <w:tcW w:w="7371" w:type="dxa"/>
            <w:tcBorders>
              <w:top w:val="single" w:sz="4" w:space="0" w:color="auto"/>
              <w:left w:val="single" w:sz="4" w:space="0" w:color="auto"/>
              <w:bottom w:val="single" w:sz="4" w:space="0" w:color="auto"/>
              <w:right w:val="single" w:sz="4" w:space="0" w:color="auto"/>
            </w:tcBorders>
            <w:hideMark/>
          </w:tcPr>
          <w:p w14:paraId="70D5645B" w14:textId="77777777" w:rsidR="00270FBF" w:rsidRPr="00E92C22" w:rsidRDefault="00270FBF" w:rsidP="00270FBF">
            <w:pPr>
              <w:rPr>
                <w:rFonts w:ascii="Calibri" w:hAnsi="Calibri" w:cs="Calibri"/>
              </w:rPr>
            </w:pPr>
            <w:r w:rsidRPr="00E92C22">
              <w:rPr>
                <w:rFonts w:ascii="Calibri" w:hAnsi="Calibri" w:cs="Calibri"/>
              </w:rPr>
              <w:t xml:space="preserve">Sklar C, Whitton J, Mertens A, et al (2000). Abnormalities of the thyroid in survivors of Hodgkin's disease: data from the Childhood Cancer Survivor Study. J Clin Endocrinol </w:t>
            </w:r>
            <w:proofErr w:type="spellStart"/>
            <w:r w:rsidRPr="00E92C22">
              <w:rPr>
                <w:rFonts w:ascii="Calibri" w:hAnsi="Calibri" w:cs="Calibri"/>
              </w:rPr>
              <w:t>Metab</w:t>
            </w:r>
            <w:proofErr w:type="spellEnd"/>
            <w:r w:rsidRPr="00E92C22">
              <w:rPr>
                <w:rFonts w:ascii="Calibri" w:hAnsi="Calibri" w:cs="Calibri"/>
              </w:rPr>
              <w:t>, 85(9): 3227-32.</w:t>
            </w:r>
          </w:p>
        </w:tc>
      </w:tr>
      <w:tr w:rsidR="00270FBF" w14:paraId="073EF87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0AAF04" w14:textId="77777777" w:rsidR="00270FBF" w:rsidRPr="00E92C22" w:rsidRDefault="00270FBF" w:rsidP="00270FBF">
            <w:pPr>
              <w:jc w:val="center"/>
              <w:rPr>
                <w:rFonts w:ascii="Calibri" w:hAnsi="Calibri" w:cs="Calibri"/>
              </w:rPr>
            </w:pPr>
            <w:r w:rsidRPr="00E92C22">
              <w:rPr>
                <w:rFonts w:ascii="Calibri" w:hAnsi="Calibri" w:cs="Calibri"/>
              </w:rPr>
              <w:t>103039</w:t>
            </w:r>
          </w:p>
        </w:tc>
        <w:tc>
          <w:tcPr>
            <w:tcW w:w="7371" w:type="dxa"/>
            <w:tcBorders>
              <w:top w:val="single" w:sz="4" w:space="0" w:color="auto"/>
              <w:left w:val="single" w:sz="4" w:space="0" w:color="auto"/>
              <w:bottom w:val="single" w:sz="4" w:space="0" w:color="auto"/>
              <w:right w:val="single" w:sz="4" w:space="0" w:color="auto"/>
            </w:tcBorders>
            <w:hideMark/>
          </w:tcPr>
          <w:p w14:paraId="5FE8F655" w14:textId="77777777" w:rsidR="00270FBF" w:rsidRPr="00E92C22" w:rsidRDefault="00270FBF" w:rsidP="00270FBF">
            <w:pPr>
              <w:rPr>
                <w:rFonts w:ascii="Calibri" w:hAnsi="Calibri" w:cs="Calibri"/>
              </w:rPr>
            </w:pPr>
            <w:r w:rsidRPr="00E92C22">
              <w:rPr>
                <w:rFonts w:ascii="Calibri" w:hAnsi="Calibri" w:cs="Calibri"/>
              </w:rPr>
              <w:t xml:space="preserve">Smurthwaite K, Lazarevic N, </w:t>
            </w:r>
            <w:proofErr w:type="spellStart"/>
            <w:r w:rsidRPr="00E92C22">
              <w:rPr>
                <w:rFonts w:ascii="Calibri" w:hAnsi="Calibri" w:cs="Calibri"/>
              </w:rPr>
              <w:t>Braunig</w:t>
            </w:r>
            <w:proofErr w:type="spellEnd"/>
            <w:r w:rsidRPr="00E92C22">
              <w:rPr>
                <w:rFonts w:ascii="Calibri" w:hAnsi="Calibri" w:cs="Calibri"/>
              </w:rPr>
              <w:t xml:space="preserve"> J, et al (2021). PFAS Health Study Component Two: Blood Serum Study of PFAS Exposure, Related Risk Factors and Biochemical Markers of Health. Canberra (AU): The Australian National University.</w:t>
            </w:r>
          </w:p>
        </w:tc>
      </w:tr>
      <w:tr w:rsidR="00270FBF" w14:paraId="22276D5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5CEC20D" w14:textId="77777777" w:rsidR="00270FBF" w:rsidRPr="00E92C22" w:rsidRDefault="00270FBF" w:rsidP="00270FBF">
            <w:pPr>
              <w:jc w:val="center"/>
              <w:rPr>
                <w:rFonts w:ascii="Calibri" w:hAnsi="Calibri" w:cs="Calibri"/>
              </w:rPr>
            </w:pPr>
            <w:r w:rsidRPr="00E92C22">
              <w:rPr>
                <w:rFonts w:ascii="Calibri" w:hAnsi="Calibri" w:cs="Calibri"/>
              </w:rPr>
              <w:t>80734</w:t>
            </w:r>
          </w:p>
        </w:tc>
        <w:tc>
          <w:tcPr>
            <w:tcW w:w="7371" w:type="dxa"/>
            <w:tcBorders>
              <w:top w:val="single" w:sz="4" w:space="0" w:color="auto"/>
              <w:left w:val="single" w:sz="4" w:space="0" w:color="auto"/>
              <w:bottom w:val="single" w:sz="4" w:space="0" w:color="auto"/>
              <w:right w:val="single" w:sz="4" w:space="0" w:color="auto"/>
            </w:tcBorders>
            <w:hideMark/>
          </w:tcPr>
          <w:p w14:paraId="37F737E0" w14:textId="77777777" w:rsidR="00270FBF" w:rsidRPr="00E92C22" w:rsidRDefault="00270FBF" w:rsidP="00270FBF">
            <w:pPr>
              <w:rPr>
                <w:rFonts w:ascii="Calibri" w:hAnsi="Calibri" w:cs="Calibri"/>
              </w:rPr>
            </w:pPr>
            <w:r w:rsidRPr="006E1170">
              <w:rPr>
                <w:rFonts w:ascii="Calibri" w:hAnsi="Calibri" w:cs="Calibri"/>
                <w:lang w:val="de-DE"/>
              </w:rPr>
              <w:t xml:space="preserve">Sokolnikov M, Preston D, Gilbert E, et al (2015). </w:t>
            </w:r>
            <w:r w:rsidRPr="00E92C22">
              <w:rPr>
                <w:rFonts w:ascii="Calibri" w:hAnsi="Calibri" w:cs="Calibri"/>
              </w:rPr>
              <w:t xml:space="preserve">Radiation effects on mortality from solid cancers other than lung, liver, and bone cancer in the Mayak worker cohort: 1948-2008. </w:t>
            </w:r>
            <w:proofErr w:type="spellStart"/>
            <w:r w:rsidRPr="00E92C22">
              <w:rPr>
                <w:rFonts w:ascii="Calibri" w:hAnsi="Calibri" w:cs="Calibri"/>
              </w:rPr>
              <w:t>PLoS</w:t>
            </w:r>
            <w:proofErr w:type="spellEnd"/>
            <w:r w:rsidRPr="00E92C22">
              <w:rPr>
                <w:rFonts w:ascii="Calibri" w:hAnsi="Calibri" w:cs="Calibri"/>
              </w:rPr>
              <w:t xml:space="preserve"> One, 10(2): e0117784.</w:t>
            </w:r>
          </w:p>
        </w:tc>
      </w:tr>
      <w:tr w:rsidR="00270FBF" w14:paraId="5573F5F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D9A315D" w14:textId="77777777" w:rsidR="00270FBF" w:rsidRPr="00E92C22" w:rsidRDefault="00270FBF" w:rsidP="00270FBF">
            <w:pPr>
              <w:jc w:val="center"/>
              <w:rPr>
                <w:rFonts w:ascii="Calibri" w:hAnsi="Calibri" w:cs="Calibri"/>
              </w:rPr>
            </w:pPr>
            <w:r w:rsidRPr="00E92C22">
              <w:rPr>
                <w:rFonts w:ascii="Calibri" w:hAnsi="Calibri" w:cs="Calibri"/>
              </w:rPr>
              <w:t>80735</w:t>
            </w:r>
          </w:p>
        </w:tc>
        <w:tc>
          <w:tcPr>
            <w:tcW w:w="7371" w:type="dxa"/>
            <w:tcBorders>
              <w:top w:val="single" w:sz="4" w:space="0" w:color="auto"/>
              <w:left w:val="single" w:sz="4" w:space="0" w:color="auto"/>
              <w:bottom w:val="single" w:sz="4" w:space="0" w:color="auto"/>
              <w:right w:val="single" w:sz="4" w:space="0" w:color="auto"/>
            </w:tcBorders>
            <w:hideMark/>
          </w:tcPr>
          <w:p w14:paraId="7F64B4AB" w14:textId="77777777" w:rsidR="00270FBF" w:rsidRPr="00E92C22" w:rsidRDefault="00270FBF" w:rsidP="00270FBF">
            <w:pPr>
              <w:rPr>
                <w:rFonts w:ascii="Calibri" w:hAnsi="Calibri" w:cs="Calibri"/>
              </w:rPr>
            </w:pPr>
            <w:proofErr w:type="spellStart"/>
            <w:r w:rsidRPr="00E92C22">
              <w:rPr>
                <w:rFonts w:ascii="Calibri" w:hAnsi="Calibri" w:cs="Calibri"/>
              </w:rPr>
              <w:t>Sokolnikov</w:t>
            </w:r>
            <w:proofErr w:type="spellEnd"/>
            <w:r w:rsidRPr="00E92C22">
              <w:rPr>
                <w:rFonts w:ascii="Calibri" w:hAnsi="Calibri" w:cs="Calibri"/>
              </w:rPr>
              <w:t xml:space="preserve"> M, Preston D, Stram DO (2017). Mortality from solid cancers other than lung, liver, and bone in relation to external dose among plutonium and non-plutonium workers in the Mayak Worker Cohort. </w:t>
            </w:r>
            <w:proofErr w:type="spellStart"/>
            <w:r w:rsidRPr="00E92C22">
              <w:rPr>
                <w:rFonts w:ascii="Calibri" w:hAnsi="Calibri" w:cs="Calibri"/>
              </w:rPr>
              <w:t>Radiat</w:t>
            </w:r>
            <w:proofErr w:type="spellEnd"/>
            <w:r w:rsidRPr="00E92C22">
              <w:rPr>
                <w:rFonts w:ascii="Calibri" w:hAnsi="Calibri" w:cs="Calibri"/>
              </w:rPr>
              <w:t xml:space="preserve"> Environ </w:t>
            </w:r>
            <w:proofErr w:type="spellStart"/>
            <w:r w:rsidRPr="00E92C22">
              <w:rPr>
                <w:rFonts w:ascii="Calibri" w:hAnsi="Calibri" w:cs="Calibri"/>
              </w:rPr>
              <w:t>Biophys</w:t>
            </w:r>
            <w:proofErr w:type="spellEnd"/>
            <w:r w:rsidRPr="00E92C22">
              <w:rPr>
                <w:rFonts w:ascii="Calibri" w:hAnsi="Calibri" w:cs="Calibri"/>
              </w:rPr>
              <w:t>, 56(1): 121-5.</w:t>
            </w:r>
          </w:p>
        </w:tc>
      </w:tr>
      <w:tr w:rsidR="00270FBF" w14:paraId="0E456C2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CAECEBA" w14:textId="77777777" w:rsidR="00270FBF" w:rsidRPr="00E92C22" w:rsidRDefault="00270FBF" w:rsidP="00270FBF">
            <w:pPr>
              <w:jc w:val="center"/>
              <w:rPr>
                <w:rFonts w:ascii="Calibri" w:hAnsi="Calibri" w:cs="Calibri"/>
              </w:rPr>
            </w:pPr>
            <w:r w:rsidRPr="00E92C22">
              <w:rPr>
                <w:rFonts w:ascii="Calibri" w:hAnsi="Calibri" w:cs="Calibri"/>
              </w:rPr>
              <w:t>59534</w:t>
            </w:r>
          </w:p>
        </w:tc>
        <w:tc>
          <w:tcPr>
            <w:tcW w:w="7371" w:type="dxa"/>
            <w:tcBorders>
              <w:top w:val="single" w:sz="4" w:space="0" w:color="auto"/>
              <w:left w:val="single" w:sz="4" w:space="0" w:color="auto"/>
              <w:bottom w:val="single" w:sz="4" w:space="0" w:color="auto"/>
              <w:right w:val="single" w:sz="4" w:space="0" w:color="auto"/>
            </w:tcBorders>
            <w:hideMark/>
          </w:tcPr>
          <w:p w14:paraId="393DADE8" w14:textId="77777777" w:rsidR="00270FBF" w:rsidRPr="00E92C22" w:rsidRDefault="00270FBF" w:rsidP="00270FBF">
            <w:pPr>
              <w:rPr>
                <w:rFonts w:ascii="Calibri" w:hAnsi="Calibri" w:cs="Calibri"/>
              </w:rPr>
            </w:pPr>
            <w:r w:rsidRPr="006E1170">
              <w:rPr>
                <w:rFonts w:ascii="Calibri" w:hAnsi="Calibri" w:cs="Calibri"/>
                <w:lang w:val="de-DE"/>
              </w:rPr>
              <w:t xml:space="preserve">Sokolnikov ME, Gilbert ES, Preston DL, et al (2008). </w:t>
            </w:r>
            <w:r w:rsidRPr="00E92C22">
              <w:rPr>
                <w:rFonts w:ascii="Calibri" w:hAnsi="Calibri" w:cs="Calibri"/>
              </w:rPr>
              <w:t>Lung, liver and bone cancer mortality in Mayak workers. Int J Cancer, 123(4): 905-11.</w:t>
            </w:r>
          </w:p>
        </w:tc>
      </w:tr>
      <w:tr w:rsidR="00270FBF" w14:paraId="23A0099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85404D1" w14:textId="77777777" w:rsidR="00270FBF" w:rsidRPr="00E92C22" w:rsidRDefault="00270FBF" w:rsidP="00270FBF">
            <w:pPr>
              <w:jc w:val="center"/>
              <w:rPr>
                <w:rFonts w:ascii="Calibri" w:hAnsi="Calibri" w:cs="Calibri"/>
              </w:rPr>
            </w:pPr>
            <w:r w:rsidRPr="00E92C22">
              <w:rPr>
                <w:rFonts w:ascii="Calibri" w:hAnsi="Calibri" w:cs="Calibri"/>
              </w:rPr>
              <w:t>102816</w:t>
            </w:r>
          </w:p>
        </w:tc>
        <w:tc>
          <w:tcPr>
            <w:tcW w:w="7371" w:type="dxa"/>
            <w:tcBorders>
              <w:top w:val="single" w:sz="4" w:space="0" w:color="auto"/>
              <w:left w:val="single" w:sz="4" w:space="0" w:color="auto"/>
              <w:bottom w:val="single" w:sz="4" w:space="0" w:color="auto"/>
              <w:right w:val="single" w:sz="4" w:space="0" w:color="auto"/>
            </w:tcBorders>
            <w:hideMark/>
          </w:tcPr>
          <w:p w14:paraId="6A49932D" w14:textId="77777777" w:rsidR="00270FBF" w:rsidRPr="00E92C22" w:rsidRDefault="00270FBF" w:rsidP="00270FBF">
            <w:pPr>
              <w:rPr>
                <w:rFonts w:ascii="Calibri" w:hAnsi="Calibri" w:cs="Calibri"/>
              </w:rPr>
            </w:pPr>
            <w:r w:rsidRPr="00E92C22">
              <w:rPr>
                <w:rFonts w:ascii="Calibri" w:hAnsi="Calibri" w:cs="Calibri"/>
              </w:rPr>
              <w:t>Song H, Fang F, Tomasson G, et al (2018). Association of stress-related disorders with subsequent autoimmune disease. JAMA, 319(23): 2388-400.</w:t>
            </w:r>
          </w:p>
        </w:tc>
      </w:tr>
      <w:tr w:rsidR="00270FBF" w14:paraId="66AA43B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D9D3422" w14:textId="77777777" w:rsidR="00270FBF" w:rsidRPr="00E92C22" w:rsidRDefault="00270FBF" w:rsidP="00270FBF">
            <w:pPr>
              <w:jc w:val="center"/>
              <w:rPr>
                <w:rFonts w:ascii="Calibri" w:hAnsi="Calibri" w:cs="Calibri"/>
              </w:rPr>
            </w:pPr>
            <w:r w:rsidRPr="00E92C22">
              <w:rPr>
                <w:rFonts w:ascii="Calibri" w:hAnsi="Calibri" w:cs="Calibri"/>
              </w:rPr>
              <w:t>99424</w:t>
            </w:r>
          </w:p>
        </w:tc>
        <w:tc>
          <w:tcPr>
            <w:tcW w:w="7371" w:type="dxa"/>
            <w:tcBorders>
              <w:top w:val="single" w:sz="4" w:space="0" w:color="auto"/>
              <w:left w:val="single" w:sz="4" w:space="0" w:color="auto"/>
              <w:bottom w:val="single" w:sz="4" w:space="0" w:color="auto"/>
              <w:right w:val="single" w:sz="4" w:space="0" w:color="auto"/>
            </w:tcBorders>
            <w:hideMark/>
          </w:tcPr>
          <w:p w14:paraId="22E5D85E" w14:textId="77777777" w:rsidR="00270FBF" w:rsidRPr="00E92C22" w:rsidRDefault="00270FBF" w:rsidP="00270FBF">
            <w:pPr>
              <w:rPr>
                <w:rFonts w:ascii="Calibri" w:hAnsi="Calibri" w:cs="Calibri"/>
              </w:rPr>
            </w:pPr>
            <w:r w:rsidRPr="00E92C22">
              <w:rPr>
                <w:rFonts w:ascii="Calibri" w:hAnsi="Calibri" w:cs="Calibri"/>
              </w:rPr>
              <w:t>Song RH, Wang B, Yao QM, et al (2019). The impact of obesity on thyroid autoimmunity and dysfunction: A systematic review and meta-analysis. Front Immunol, 10: 2349.</w:t>
            </w:r>
          </w:p>
        </w:tc>
      </w:tr>
      <w:tr w:rsidR="00270FBF" w14:paraId="4DFE496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CF4E52D" w14:textId="77777777" w:rsidR="00270FBF" w:rsidRPr="00E92C22" w:rsidRDefault="00270FBF" w:rsidP="00270FBF">
            <w:pPr>
              <w:jc w:val="center"/>
              <w:rPr>
                <w:rFonts w:ascii="Calibri" w:hAnsi="Calibri" w:cs="Calibri"/>
              </w:rPr>
            </w:pPr>
            <w:r w:rsidRPr="00E92C22">
              <w:rPr>
                <w:rFonts w:ascii="Calibri" w:hAnsi="Calibri" w:cs="Calibri"/>
              </w:rPr>
              <w:t>102817</w:t>
            </w:r>
          </w:p>
        </w:tc>
        <w:tc>
          <w:tcPr>
            <w:tcW w:w="7371" w:type="dxa"/>
            <w:tcBorders>
              <w:top w:val="single" w:sz="4" w:space="0" w:color="auto"/>
              <w:left w:val="single" w:sz="4" w:space="0" w:color="auto"/>
              <w:bottom w:val="single" w:sz="4" w:space="0" w:color="auto"/>
              <w:right w:val="single" w:sz="4" w:space="0" w:color="auto"/>
            </w:tcBorders>
            <w:hideMark/>
          </w:tcPr>
          <w:p w14:paraId="4A08C870" w14:textId="77777777" w:rsidR="00270FBF" w:rsidRPr="00E92C22" w:rsidRDefault="00270FBF" w:rsidP="00270FBF">
            <w:pPr>
              <w:rPr>
                <w:rFonts w:ascii="Calibri" w:hAnsi="Calibri" w:cs="Calibri"/>
              </w:rPr>
            </w:pPr>
            <w:proofErr w:type="spellStart"/>
            <w:r w:rsidRPr="00E92C22">
              <w:rPr>
                <w:rFonts w:ascii="Calibri" w:hAnsi="Calibri" w:cs="Calibri"/>
              </w:rPr>
              <w:t>Spaggiari</w:t>
            </w:r>
            <w:proofErr w:type="spellEnd"/>
            <w:r w:rsidRPr="00E92C22">
              <w:rPr>
                <w:rFonts w:ascii="Calibri" w:hAnsi="Calibri" w:cs="Calibri"/>
              </w:rPr>
              <w:t xml:space="preserve"> G, Setti M, </w:t>
            </w:r>
            <w:proofErr w:type="spellStart"/>
            <w:r w:rsidRPr="00E92C22">
              <w:rPr>
                <w:rFonts w:ascii="Calibri" w:hAnsi="Calibri" w:cs="Calibri"/>
              </w:rPr>
              <w:t>Tagliavini</w:t>
            </w:r>
            <w:proofErr w:type="spellEnd"/>
            <w:r w:rsidRPr="00E92C22">
              <w:rPr>
                <w:rFonts w:ascii="Calibri" w:hAnsi="Calibri" w:cs="Calibri"/>
              </w:rPr>
              <w:t xml:space="preserve"> S, et al (2021). The hypothalamic-pituitary-adrenal and -thyroid axes activation lasting one year after an earthquake swarm: results from a big data analysis. J Endocrinol Invest, 44(7): 1501-13.</w:t>
            </w:r>
          </w:p>
        </w:tc>
      </w:tr>
      <w:tr w:rsidR="00270FBF" w14:paraId="162A753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F52D0A8" w14:textId="77777777" w:rsidR="00270FBF" w:rsidRPr="00E92C22" w:rsidRDefault="00270FBF" w:rsidP="00270FBF">
            <w:pPr>
              <w:jc w:val="center"/>
              <w:rPr>
                <w:rFonts w:ascii="Calibri" w:hAnsi="Calibri" w:cs="Calibri"/>
              </w:rPr>
            </w:pPr>
            <w:r w:rsidRPr="00E92C22">
              <w:rPr>
                <w:rFonts w:ascii="Calibri" w:hAnsi="Calibri" w:cs="Calibri"/>
              </w:rPr>
              <w:t>65425</w:t>
            </w:r>
          </w:p>
        </w:tc>
        <w:tc>
          <w:tcPr>
            <w:tcW w:w="7371" w:type="dxa"/>
            <w:tcBorders>
              <w:top w:val="single" w:sz="4" w:space="0" w:color="auto"/>
              <w:left w:val="single" w:sz="4" w:space="0" w:color="auto"/>
              <w:bottom w:val="single" w:sz="4" w:space="0" w:color="auto"/>
              <w:right w:val="single" w:sz="4" w:space="0" w:color="auto"/>
            </w:tcBorders>
            <w:hideMark/>
          </w:tcPr>
          <w:p w14:paraId="171B8783" w14:textId="77777777" w:rsidR="00270FBF" w:rsidRPr="00E92C22" w:rsidRDefault="00270FBF" w:rsidP="00270FBF">
            <w:pPr>
              <w:rPr>
                <w:rFonts w:ascii="Calibri" w:hAnsi="Calibri" w:cs="Calibri"/>
              </w:rPr>
            </w:pPr>
            <w:r w:rsidRPr="00E92C22">
              <w:rPr>
                <w:rFonts w:ascii="Calibri" w:hAnsi="Calibri" w:cs="Calibri"/>
              </w:rPr>
              <w:t xml:space="preserve">Spaulding SW (2011). The possible roles of environmental factors and the aryl hydrocarbon receptor in the prevalence of thyroid diseases in Vietnam era veterans. Curr </w:t>
            </w:r>
            <w:proofErr w:type="spellStart"/>
            <w:r w:rsidRPr="00E92C22">
              <w:rPr>
                <w:rFonts w:ascii="Calibri" w:hAnsi="Calibri" w:cs="Calibri"/>
              </w:rPr>
              <w:t>Opin</w:t>
            </w:r>
            <w:proofErr w:type="spellEnd"/>
            <w:r w:rsidRPr="00E92C22">
              <w:rPr>
                <w:rFonts w:ascii="Calibri" w:hAnsi="Calibri" w:cs="Calibri"/>
              </w:rPr>
              <w:t xml:space="preserve"> Endocrinol Diabetes </w:t>
            </w:r>
            <w:proofErr w:type="spellStart"/>
            <w:r w:rsidRPr="00E92C22">
              <w:rPr>
                <w:rFonts w:ascii="Calibri" w:hAnsi="Calibri" w:cs="Calibri"/>
              </w:rPr>
              <w:t>Obes</w:t>
            </w:r>
            <w:proofErr w:type="spellEnd"/>
            <w:r w:rsidRPr="00E92C22">
              <w:rPr>
                <w:rFonts w:ascii="Calibri" w:hAnsi="Calibri" w:cs="Calibri"/>
              </w:rPr>
              <w:t>, 18(5): 315-20.</w:t>
            </w:r>
          </w:p>
        </w:tc>
      </w:tr>
      <w:tr w:rsidR="00270FBF" w14:paraId="7C21BD2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5DED960" w14:textId="77777777" w:rsidR="00270FBF" w:rsidRPr="00E92C22" w:rsidRDefault="00270FBF" w:rsidP="00270FBF">
            <w:pPr>
              <w:jc w:val="center"/>
              <w:rPr>
                <w:rFonts w:ascii="Calibri" w:hAnsi="Calibri" w:cs="Calibri"/>
              </w:rPr>
            </w:pPr>
            <w:r w:rsidRPr="00E92C22">
              <w:rPr>
                <w:rFonts w:ascii="Calibri" w:hAnsi="Calibri" w:cs="Calibri"/>
              </w:rPr>
              <w:t>66164</w:t>
            </w:r>
          </w:p>
        </w:tc>
        <w:tc>
          <w:tcPr>
            <w:tcW w:w="7371" w:type="dxa"/>
            <w:tcBorders>
              <w:top w:val="single" w:sz="4" w:space="0" w:color="auto"/>
              <w:left w:val="single" w:sz="4" w:space="0" w:color="auto"/>
              <w:bottom w:val="single" w:sz="4" w:space="0" w:color="auto"/>
              <w:right w:val="single" w:sz="4" w:space="0" w:color="auto"/>
            </w:tcBorders>
            <w:hideMark/>
          </w:tcPr>
          <w:p w14:paraId="01462C65" w14:textId="77777777" w:rsidR="00270FBF" w:rsidRPr="00E92C22" w:rsidRDefault="00270FBF" w:rsidP="00270FBF">
            <w:pPr>
              <w:rPr>
                <w:rFonts w:ascii="Calibri" w:hAnsi="Calibri" w:cs="Calibri"/>
              </w:rPr>
            </w:pPr>
            <w:r w:rsidRPr="006E1170">
              <w:rPr>
                <w:rFonts w:ascii="Calibri" w:hAnsi="Calibri" w:cs="Calibri"/>
                <w:lang w:val="de-DE"/>
              </w:rPr>
              <w:t xml:space="preserve">Strieder TG, Prummel MF, Tijssen JG, et al (2003). </w:t>
            </w:r>
            <w:r w:rsidRPr="00E92C22">
              <w:rPr>
                <w:rFonts w:ascii="Calibri" w:hAnsi="Calibri" w:cs="Calibri"/>
              </w:rPr>
              <w:t>Risk factors for and prevalence of thyroid disorders in a cross-sectional study among healthy female relatives of patients with autoimmune thyroid disease. Clin Endocrinol (</w:t>
            </w:r>
            <w:proofErr w:type="spellStart"/>
            <w:r w:rsidRPr="00E92C22">
              <w:rPr>
                <w:rFonts w:ascii="Calibri" w:hAnsi="Calibri" w:cs="Calibri"/>
              </w:rPr>
              <w:t>Oxf</w:t>
            </w:r>
            <w:proofErr w:type="spellEnd"/>
            <w:r w:rsidRPr="00E92C22">
              <w:rPr>
                <w:rFonts w:ascii="Calibri" w:hAnsi="Calibri" w:cs="Calibri"/>
              </w:rPr>
              <w:t>), 59(3): 396-401.</w:t>
            </w:r>
          </w:p>
        </w:tc>
      </w:tr>
      <w:tr w:rsidR="00270FBF" w14:paraId="52BBE1C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563B182" w14:textId="77777777" w:rsidR="00270FBF" w:rsidRPr="00E92C22" w:rsidRDefault="00270FBF" w:rsidP="00270FBF">
            <w:pPr>
              <w:jc w:val="center"/>
              <w:rPr>
                <w:rFonts w:ascii="Calibri" w:hAnsi="Calibri" w:cs="Calibri"/>
              </w:rPr>
            </w:pPr>
            <w:r w:rsidRPr="00E92C22">
              <w:rPr>
                <w:rFonts w:ascii="Calibri" w:hAnsi="Calibri" w:cs="Calibri"/>
              </w:rPr>
              <w:t>65371</w:t>
            </w:r>
          </w:p>
        </w:tc>
        <w:tc>
          <w:tcPr>
            <w:tcW w:w="7371" w:type="dxa"/>
            <w:tcBorders>
              <w:top w:val="single" w:sz="4" w:space="0" w:color="auto"/>
              <w:left w:val="single" w:sz="4" w:space="0" w:color="auto"/>
              <w:bottom w:val="single" w:sz="4" w:space="0" w:color="auto"/>
              <w:right w:val="single" w:sz="4" w:space="0" w:color="auto"/>
            </w:tcBorders>
            <w:hideMark/>
          </w:tcPr>
          <w:p w14:paraId="4C9D89CA" w14:textId="77777777" w:rsidR="00270FBF" w:rsidRPr="00E92C22" w:rsidRDefault="00270FBF" w:rsidP="00270FBF">
            <w:pPr>
              <w:rPr>
                <w:rFonts w:ascii="Calibri" w:hAnsi="Calibri" w:cs="Calibri"/>
              </w:rPr>
            </w:pPr>
            <w:r w:rsidRPr="00E92C22">
              <w:rPr>
                <w:rFonts w:ascii="Calibri" w:hAnsi="Calibri" w:cs="Calibri"/>
              </w:rPr>
              <w:t>Stuart A (2011). The changing scene in Hashimoto's disease: a review. Med Hypotheses, 77(3): 424-6.</w:t>
            </w:r>
          </w:p>
        </w:tc>
      </w:tr>
      <w:tr w:rsidR="00270FBF" w14:paraId="1849E20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CD054A6" w14:textId="77777777" w:rsidR="00270FBF" w:rsidRPr="00E92C22" w:rsidRDefault="00270FBF" w:rsidP="00270FBF">
            <w:pPr>
              <w:jc w:val="center"/>
              <w:rPr>
                <w:rFonts w:ascii="Calibri" w:hAnsi="Calibri" w:cs="Calibri"/>
              </w:rPr>
            </w:pPr>
            <w:r w:rsidRPr="00E92C22">
              <w:rPr>
                <w:rFonts w:ascii="Calibri" w:hAnsi="Calibri" w:cs="Calibri"/>
              </w:rPr>
              <w:t>102818</w:t>
            </w:r>
          </w:p>
        </w:tc>
        <w:tc>
          <w:tcPr>
            <w:tcW w:w="7371" w:type="dxa"/>
            <w:tcBorders>
              <w:top w:val="single" w:sz="4" w:space="0" w:color="auto"/>
              <w:left w:val="single" w:sz="4" w:space="0" w:color="auto"/>
              <w:bottom w:val="single" w:sz="4" w:space="0" w:color="auto"/>
              <w:right w:val="single" w:sz="4" w:space="0" w:color="auto"/>
            </w:tcBorders>
            <w:hideMark/>
          </w:tcPr>
          <w:p w14:paraId="2F4C2C3D" w14:textId="77777777" w:rsidR="00270FBF" w:rsidRPr="00E92C22" w:rsidRDefault="00270FBF" w:rsidP="00270FBF">
            <w:pPr>
              <w:rPr>
                <w:rFonts w:ascii="Calibri" w:hAnsi="Calibri" w:cs="Calibri"/>
              </w:rPr>
            </w:pPr>
            <w:r w:rsidRPr="00E92C22">
              <w:rPr>
                <w:rFonts w:ascii="Calibri" w:hAnsi="Calibri" w:cs="Calibri"/>
              </w:rPr>
              <w:t>Sun Y, Qu Y, Zhu J (2021). The relationship between inflammation and post-traumatic stress disorder. Front Psychiatry, 12: 707543.</w:t>
            </w:r>
          </w:p>
        </w:tc>
      </w:tr>
      <w:tr w:rsidR="00270FBF" w14:paraId="098ADCB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570CD0E" w14:textId="77777777" w:rsidR="00270FBF" w:rsidRPr="00E92C22" w:rsidRDefault="00270FBF" w:rsidP="00270FBF">
            <w:pPr>
              <w:jc w:val="center"/>
              <w:rPr>
                <w:rFonts w:ascii="Calibri" w:hAnsi="Calibri" w:cs="Calibri"/>
              </w:rPr>
            </w:pPr>
            <w:r w:rsidRPr="00E92C22">
              <w:rPr>
                <w:rFonts w:ascii="Calibri" w:hAnsi="Calibri" w:cs="Calibri"/>
              </w:rPr>
              <w:t>99961</w:t>
            </w:r>
          </w:p>
        </w:tc>
        <w:tc>
          <w:tcPr>
            <w:tcW w:w="7371" w:type="dxa"/>
            <w:tcBorders>
              <w:top w:val="single" w:sz="4" w:space="0" w:color="auto"/>
              <w:left w:val="single" w:sz="4" w:space="0" w:color="auto"/>
              <w:bottom w:val="single" w:sz="4" w:space="0" w:color="auto"/>
              <w:right w:val="single" w:sz="4" w:space="0" w:color="auto"/>
            </w:tcBorders>
            <w:hideMark/>
          </w:tcPr>
          <w:p w14:paraId="337779DD" w14:textId="77777777" w:rsidR="00270FBF" w:rsidRPr="00E92C22" w:rsidRDefault="00270FBF" w:rsidP="00270FBF">
            <w:pPr>
              <w:rPr>
                <w:rFonts w:ascii="Calibri" w:hAnsi="Calibri" w:cs="Calibri"/>
              </w:rPr>
            </w:pPr>
            <w:proofErr w:type="spellStart"/>
            <w:r w:rsidRPr="00E92C22">
              <w:rPr>
                <w:rFonts w:ascii="Calibri" w:hAnsi="Calibri" w:cs="Calibri"/>
              </w:rPr>
              <w:t>Surks</w:t>
            </w:r>
            <w:proofErr w:type="spellEnd"/>
            <w:r w:rsidRPr="00E92C22">
              <w:rPr>
                <w:rFonts w:ascii="Calibri" w:hAnsi="Calibri" w:cs="Calibri"/>
              </w:rPr>
              <w:t xml:space="preserve"> MI (2021). Iodine-induced thyroid dysfunction. Retrieved 21 June 2021, from https://www.uptodate.com/contents/iodine-induced-thyroid-dysfunction</w:t>
            </w:r>
          </w:p>
        </w:tc>
      </w:tr>
      <w:tr w:rsidR="00270FBF" w14:paraId="2E3C40D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F42329F" w14:textId="77777777" w:rsidR="00270FBF" w:rsidRPr="00E92C22" w:rsidRDefault="00270FBF" w:rsidP="00270FBF">
            <w:pPr>
              <w:jc w:val="center"/>
              <w:rPr>
                <w:rFonts w:ascii="Calibri" w:hAnsi="Calibri" w:cs="Calibri"/>
              </w:rPr>
            </w:pPr>
            <w:r w:rsidRPr="00E92C22">
              <w:rPr>
                <w:rFonts w:ascii="Calibri" w:hAnsi="Calibri" w:cs="Calibri"/>
              </w:rPr>
              <w:lastRenderedPageBreak/>
              <w:t>99028</w:t>
            </w:r>
          </w:p>
        </w:tc>
        <w:tc>
          <w:tcPr>
            <w:tcW w:w="7371" w:type="dxa"/>
            <w:tcBorders>
              <w:top w:val="single" w:sz="4" w:space="0" w:color="auto"/>
              <w:left w:val="single" w:sz="4" w:space="0" w:color="auto"/>
              <w:bottom w:val="single" w:sz="4" w:space="0" w:color="auto"/>
              <w:right w:val="single" w:sz="4" w:space="0" w:color="auto"/>
            </w:tcBorders>
            <w:hideMark/>
          </w:tcPr>
          <w:p w14:paraId="199CC4F2" w14:textId="77777777" w:rsidR="00270FBF" w:rsidRPr="00E92C22" w:rsidRDefault="00270FBF" w:rsidP="00270FBF">
            <w:pPr>
              <w:rPr>
                <w:rFonts w:ascii="Calibri" w:hAnsi="Calibri" w:cs="Calibri"/>
              </w:rPr>
            </w:pPr>
            <w:proofErr w:type="spellStart"/>
            <w:r w:rsidRPr="00E92C22">
              <w:rPr>
                <w:rFonts w:ascii="Calibri" w:hAnsi="Calibri" w:cs="Calibri"/>
              </w:rPr>
              <w:t>Surks</w:t>
            </w:r>
            <w:proofErr w:type="spellEnd"/>
            <w:r w:rsidRPr="00E92C22">
              <w:rPr>
                <w:rFonts w:ascii="Calibri" w:hAnsi="Calibri" w:cs="Calibri"/>
              </w:rPr>
              <w:t xml:space="preserve"> MI (2021). Lithium and the thyroid. Retrieved 6 May 2021, from https://www.uptodate.com/contents/lithium-and-the-thyroid</w:t>
            </w:r>
          </w:p>
        </w:tc>
      </w:tr>
      <w:tr w:rsidR="00270FBF" w14:paraId="61EDCE8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88F8803" w14:textId="77777777" w:rsidR="00270FBF" w:rsidRPr="00E92C22" w:rsidRDefault="00270FBF" w:rsidP="00270FBF">
            <w:pPr>
              <w:jc w:val="center"/>
              <w:rPr>
                <w:rFonts w:ascii="Calibri" w:hAnsi="Calibri" w:cs="Calibri"/>
              </w:rPr>
            </w:pPr>
            <w:r w:rsidRPr="00E92C22">
              <w:rPr>
                <w:rFonts w:ascii="Calibri" w:hAnsi="Calibri" w:cs="Calibri"/>
              </w:rPr>
              <w:t>101717</w:t>
            </w:r>
          </w:p>
        </w:tc>
        <w:tc>
          <w:tcPr>
            <w:tcW w:w="7371" w:type="dxa"/>
            <w:tcBorders>
              <w:top w:val="single" w:sz="4" w:space="0" w:color="auto"/>
              <w:left w:val="single" w:sz="4" w:space="0" w:color="auto"/>
              <w:bottom w:val="single" w:sz="4" w:space="0" w:color="auto"/>
              <w:right w:val="single" w:sz="4" w:space="0" w:color="auto"/>
            </w:tcBorders>
            <w:hideMark/>
          </w:tcPr>
          <w:p w14:paraId="1561BF1F" w14:textId="77777777" w:rsidR="00270FBF" w:rsidRPr="00E92C22" w:rsidRDefault="00270FBF" w:rsidP="00270FBF">
            <w:pPr>
              <w:rPr>
                <w:rFonts w:ascii="Calibri" w:hAnsi="Calibri" w:cs="Calibri"/>
              </w:rPr>
            </w:pPr>
            <w:r w:rsidRPr="00E92C22">
              <w:rPr>
                <w:rFonts w:ascii="Calibri" w:hAnsi="Calibri" w:cs="Calibri"/>
              </w:rPr>
              <w:t>Sweeney LB, Stewart C, Gaitonde DY (2014). Thyroiditis: an integrated approach. Am Fam Physician, 90(6): 389-96.</w:t>
            </w:r>
          </w:p>
        </w:tc>
      </w:tr>
      <w:tr w:rsidR="00270FBF" w14:paraId="4F17312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B1992DE" w14:textId="77777777" w:rsidR="00270FBF" w:rsidRPr="00E92C22" w:rsidRDefault="00270FBF" w:rsidP="00270FBF">
            <w:pPr>
              <w:jc w:val="center"/>
              <w:rPr>
                <w:rFonts w:ascii="Calibri" w:hAnsi="Calibri" w:cs="Calibri"/>
              </w:rPr>
            </w:pPr>
            <w:r w:rsidRPr="00E92C22">
              <w:rPr>
                <w:rFonts w:ascii="Calibri" w:hAnsi="Calibri" w:cs="Calibri"/>
              </w:rPr>
              <w:t>89610</w:t>
            </w:r>
          </w:p>
        </w:tc>
        <w:tc>
          <w:tcPr>
            <w:tcW w:w="7371" w:type="dxa"/>
            <w:tcBorders>
              <w:top w:val="single" w:sz="4" w:space="0" w:color="auto"/>
              <w:left w:val="single" w:sz="4" w:space="0" w:color="auto"/>
              <w:bottom w:val="single" w:sz="4" w:space="0" w:color="auto"/>
              <w:right w:val="single" w:sz="4" w:space="0" w:color="auto"/>
            </w:tcBorders>
            <w:hideMark/>
          </w:tcPr>
          <w:p w14:paraId="1F244FD4" w14:textId="77777777" w:rsidR="00270FBF" w:rsidRPr="00E92C22" w:rsidRDefault="00270FBF" w:rsidP="00270FBF">
            <w:pPr>
              <w:rPr>
                <w:rFonts w:ascii="Calibri" w:hAnsi="Calibri" w:cs="Calibri"/>
              </w:rPr>
            </w:pPr>
            <w:r w:rsidRPr="00E92C22">
              <w:rPr>
                <w:rFonts w:ascii="Calibri" w:hAnsi="Calibri" w:cs="Calibri"/>
              </w:rPr>
              <w:t xml:space="preserve">'t </w:t>
            </w:r>
            <w:proofErr w:type="spellStart"/>
            <w:r w:rsidRPr="00E92C22">
              <w:rPr>
                <w:rFonts w:ascii="Calibri" w:hAnsi="Calibri" w:cs="Calibri"/>
              </w:rPr>
              <w:t>Mannetje</w:t>
            </w:r>
            <w:proofErr w:type="spellEnd"/>
            <w:r w:rsidRPr="00E92C22">
              <w:rPr>
                <w:rFonts w:ascii="Calibri" w:hAnsi="Calibri" w:cs="Calibri"/>
              </w:rPr>
              <w:t xml:space="preserve"> A, Eng A, Walls C, et al (2018). Morbidity in New Zealand pesticide producers exposed to 2,3,7,8-tetrachlorodibenzo-p-dioxin (TCDD). Environ Int, 110: 22-31.</w:t>
            </w:r>
          </w:p>
        </w:tc>
      </w:tr>
      <w:tr w:rsidR="00270FBF" w14:paraId="371D5479"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7C6C89E" w14:textId="77777777" w:rsidR="00270FBF" w:rsidRPr="00E92C22" w:rsidRDefault="00270FBF" w:rsidP="00270FBF">
            <w:pPr>
              <w:jc w:val="center"/>
              <w:rPr>
                <w:rFonts w:ascii="Calibri" w:hAnsi="Calibri" w:cs="Calibri"/>
              </w:rPr>
            </w:pPr>
            <w:r w:rsidRPr="00E92C22">
              <w:rPr>
                <w:rFonts w:ascii="Calibri" w:hAnsi="Calibri" w:cs="Calibri"/>
              </w:rPr>
              <w:t>65899</w:t>
            </w:r>
          </w:p>
        </w:tc>
        <w:tc>
          <w:tcPr>
            <w:tcW w:w="7371" w:type="dxa"/>
            <w:tcBorders>
              <w:top w:val="single" w:sz="4" w:space="0" w:color="auto"/>
              <w:left w:val="single" w:sz="4" w:space="0" w:color="auto"/>
              <w:bottom w:val="single" w:sz="4" w:space="0" w:color="auto"/>
              <w:right w:val="single" w:sz="4" w:space="0" w:color="auto"/>
            </w:tcBorders>
            <w:hideMark/>
          </w:tcPr>
          <w:p w14:paraId="300B287F" w14:textId="77777777" w:rsidR="00270FBF" w:rsidRPr="00E92C22" w:rsidRDefault="00270FBF" w:rsidP="00270FBF">
            <w:pPr>
              <w:rPr>
                <w:rFonts w:ascii="Calibri" w:hAnsi="Calibri" w:cs="Calibri"/>
              </w:rPr>
            </w:pPr>
            <w:r w:rsidRPr="00E92C22">
              <w:rPr>
                <w:rFonts w:ascii="Calibri" w:hAnsi="Calibri" w:cs="Calibri"/>
              </w:rPr>
              <w:t xml:space="preserve">Tavares AB, Paula SK, Vaisman M, et al (2010). Amiodarone and thyrotoxicosis: case reports. </w:t>
            </w:r>
            <w:proofErr w:type="spellStart"/>
            <w:r w:rsidRPr="00E92C22">
              <w:rPr>
                <w:rFonts w:ascii="Calibri" w:hAnsi="Calibri" w:cs="Calibri"/>
              </w:rPr>
              <w:t>Arq</w:t>
            </w:r>
            <w:proofErr w:type="spellEnd"/>
            <w:r w:rsidRPr="00E92C22">
              <w:rPr>
                <w:rFonts w:ascii="Calibri" w:hAnsi="Calibri" w:cs="Calibri"/>
              </w:rPr>
              <w:t xml:space="preserve"> Bras </w:t>
            </w:r>
            <w:proofErr w:type="spellStart"/>
            <w:r w:rsidRPr="00E92C22">
              <w:rPr>
                <w:rFonts w:ascii="Calibri" w:hAnsi="Calibri" w:cs="Calibri"/>
              </w:rPr>
              <w:t>Cardiol</w:t>
            </w:r>
            <w:proofErr w:type="spellEnd"/>
            <w:r w:rsidRPr="00E92C22">
              <w:rPr>
                <w:rFonts w:ascii="Calibri" w:hAnsi="Calibri" w:cs="Calibri"/>
              </w:rPr>
              <w:t>, 95(5): e122-4.</w:t>
            </w:r>
          </w:p>
        </w:tc>
      </w:tr>
      <w:tr w:rsidR="00270FBF" w14:paraId="430BB37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B3E729B" w14:textId="77777777" w:rsidR="00270FBF" w:rsidRPr="00E92C22" w:rsidRDefault="00270FBF" w:rsidP="00270FBF">
            <w:pPr>
              <w:jc w:val="center"/>
              <w:rPr>
                <w:rFonts w:ascii="Calibri" w:hAnsi="Calibri" w:cs="Calibri"/>
              </w:rPr>
            </w:pPr>
            <w:r w:rsidRPr="00E92C22">
              <w:rPr>
                <w:rFonts w:ascii="Calibri" w:hAnsi="Calibri" w:cs="Calibri"/>
              </w:rPr>
              <w:t>103526</w:t>
            </w:r>
          </w:p>
        </w:tc>
        <w:tc>
          <w:tcPr>
            <w:tcW w:w="7371" w:type="dxa"/>
            <w:tcBorders>
              <w:top w:val="single" w:sz="4" w:space="0" w:color="auto"/>
              <w:left w:val="single" w:sz="4" w:space="0" w:color="auto"/>
              <w:bottom w:val="single" w:sz="4" w:space="0" w:color="auto"/>
              <w:right w:val="single" w:sz="4" w:space="0" w:color="auto"/>
            </w:tcBorders>
            <w:hideMark/>
          </w:tcPr>
          <w:p w14:paraId="25BF9D8B" w14:textId="77777777" w:rsidR="00270FBF" w:rsidRPr="00E92C22" w:rsidRDefault="00270FBF" w:rsidP="00270FBF">
            <w:pPr>
              <w:rPr>
                <w:rFonts w:ascii="Calibri" w:hAnsi="Calibri" w:cs="Calibri"/>
              </w:rPr>
            </w:pPr>
            <w:r w:rsidRPr="00E92C22">
              <w:rPr>
                <w:rFonts w:ascii="Calibri" w:hAnsi="Calibri" w:cs="Calibri"/>
              </w:rPr>
              <w:t>Tee LY, Harjanto S, Rosario BH (2021). COVID-19 complicated by Hashimoto's thyroiditis. Singapore Med J, 62(5): 265.</w:t>
            </w:r>
          </w:p>
        </w:tc>
      </w:tr>
      <w:tr w:rsidR="00270FBF" w14:paraId="4504B5BC"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2EFB6A4" w14:textId="77777777" w:rsidR="00270FBF" w:rsidRPr="00E92C22" w:rsidRDefault="00270FBF" w:rsidP="00270FBF">
            <w:pPr>
              <w:jc w:val="center"/>
              <w:rPr>
                <w:rFonts w:ascii="Calibri" w:hAnsi="Calibri" w:cs="Calibri"/>
              </w:rPr>
            </w:pPr>
            <w:r w:rsidRPr="00E92C22">
              <w:rPr>
                <w:rFonts w:ascii="Calibri" w:hAnsi="Calibri" w:cs="Calibri"/>
              </w:rPr>
              <w:t>65900</w:t>
            </w:r>
          </w:p>
        </w:tc>
        <w:tc>
          <w:tcPr>
            <w:tcW w:w="7371" w:type="dxa"/>
            <w:tcBorders>
              <w:top w:val="single" w:sz="4" w:space="0" w:color="auto"/>
              <w:left w:val="single" w:sz="4" w:space="0" w:color="auto"/>
              <w:bottom w:val="single" w:sz="4" w:space="0" w:color="auto"/>
              <w:right w:val="single" w:sz="4" w:space="0" w:color="auto"/>
            </w:tcBorders>
            <w:hideMark/>
          </w:tcPr>
          <w:p w14:paraId="313E7B16" w14:textId="77777777" w:rsidR="00270FBF" w:rsidRPr="00E92C22" w:rsidRDefault="00270FBF" w:rsidP="00270FBF">
            <w:pPr>
              <w:rPr>
                <w:rFonts w:ascii="Calibri" w:hAnsi="Calibri" w:cs="Calibri"/>
              </w:rPr>
            </w:pPr>
            <w:r w:rsidRPr="006E1170">
              <w:rPr>
                <w:rFonts w:ascii="Calibri" w:hAnsi="Calibri" w:cs="Calibri"/>
                <w:lang w:val="de-DE"/>
              </w:rPr>
              <w:t xml:space="preserve">Teng W, Shan Z, Teng X, et al (2006). </w:t>
            </w:r>
            <w:r w:rsidRPr="00E92C22">
              <w:rPr>
                <w:rFonts w:ascii="Calibri" w:hAnsi="Calibri" w:cs="Calibri"/>
              </w:rPr>
              <w:t>Effect of iodine intake on thyroid diseases in China. N Engl J Med, 354(26): 2783-93.</w:t>
            </w:r>
          </w:p>
        </w:tc>
      </w:tr>
      <w:tr w:rsidR="00270FBF" w14:paraId="0464C79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0BCD6B8" w14:textId="77777777" w:rsidR="00270FBF" w:rsidRPr="00E92C22" w:rsidRDefault="00270FBF" w:rsidP="00270FBF">
            <w:pPr>
              <w:jc w:val="center"/>
              <w:rPr>
                <w:rFonts w:ascii="Calibri" w:hAnsi="Calibri" w:cs="Calibri"/>
              </w:rPr>
            </w:pPr>
            <w:r w:rsidRPr="00E92C22">
              <w:rPr>
                <w:rFonts w:ascii="Calibri" w:hAnsi="Calibri" w:cs="Calibri"/>
              </w:rPr>
              <w:t>99428</w:t>
            </w:r>
          </w:p>
        </w:tc>
        <w:tc>
          <w:tcPr>
            <w:tcW w:w="7371" w:type="dxa"/>
            <w:tcBorders>
              <w:top w:val="single" w:sz="4" w:space="0" w:color="auto"/>
              <w:left w:val="single" w:sz="4" w:space="0" w:color="auto"/>
              <w:bottom w:val="single" w:sz="4" w:space="0" w:color="auto"/>
              <w:right w:val="single" w:sz="4" w:space="0" w:color="auto"/>
            </w:tcBorders>
            <w:hideMark/>
          </w:tcPr>
          <w:p w14:paraId="4786407D" w14:textId="77777777" w:rsidR="00270FBF" w:rsidRPr="00E92C22" w:rsidRDefault="00270FBF" w:rsidP="00270FBF">
            <w:pPr>
              <w:rPr>
                <w:rFonts w:ascii="Calibri" w:hAnsi="Calibri" w:cs="Calibri"/>
              </w:rPr>
            </w:pPr>
            <w:r w:rsidRPr="006E1170">
              <w:rPr>
                <w:rFonts w:ascii="Calibri" w:hAnsi="Calibri" w:cs="Calibri"/>
                <w:lang w:val="de-DE"/>
              </w:rPr>
              <w:t xml:space="preserve">Teti C, Panciroli M, Nazzari E, et al (2021). </w:t>
            </w:r>
            <w:proofErr w:type="spellStart"/>
            <w:r w:rsidRPr="00E92C22">
              <w:rPr>
                <w:rFonts w:ascii="Calibri" w:hAnsi="Calibri" w:cs="Calibri"/>
              </w:rPr>
              <w:t>Iodoprophylaxis</w:t>
            </w:r>
            <w:proofErr w:type="spellEnd"/>
            <w:r w:rsidRPr="00E92C22">
              <w:rPr>
                <w:rFonts w:ascii="Calibri" w:hAnsi="Calibri" w:cs="Calibri"/>
              </w:rPr>
              <w:t xml:space="preserve"> and thyroid autoimmunity: an update. Immunol Res, 69(2): 129-38.</w:t>
            </w:r>
          </w:p>
        </w:tc>
      </w:tr>
      <w:tr w:rsidR="00270FBF" w14:paraId="1E3E60F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94AA176" w14:textId="77777777" w:rsidR="00270FBF" w:rsidRPr="00E92C22" w:rsidRDefault="00270FBF" w:rsidP="00270FBF">
            <w:pPr>
              <w:jc w:val="center"/>
              <w:rPr>
                <w:rFonts w:ascii="Calibri" w:hAnsi="Calibri" w:cs="Calibri"/>
              </w:rPr>
            </w:pPr>
            <w:r w:rsidRPr="00E92C22">
              <w:rPr>
                <w:rFonts w:ascii="Calibri" w:hAnsi="Calibri" w:cs="Calibri"/>
              </w:rPr>
              <w:t>65644</w:t>
            </w:r>
          </w:p>
        </w:tc>
        <w:tc>
          <w:tcPr>
            <w:tcW w:w="7371" w:type="dxa"/>
            <w:tcBorders>
              <w:top w:val="single" w:sz="4" w:space="0" w:color="auto"/>
              <w:left w:val="single" w:sz="4" w:space="0" w:color="auto"/>
              <w:bottom w:val="single" w:sz="4" w:space="0" w:color="auto"/>
              <w:right w:val="single" w:sz="4" w:space="0" w:color="auto"/>
            </w:tcBorders>
            <w:hideMark/>
          </w:tcPr>
          <w:p w14:paraId="2F20F406" w14:textId="77777777" w:rsidR="00270FBF" w:rsidRPr="00E92C22" w:rsidRDefault="00270FBF" w:rsidP="00270FBF">
            <w:pPr>
              <w:rPr>
                <w:rFonts w:ascii="Calibri" w:hAnsi="Calibri" w:cs="Calibri"/>
              </w:rPr>
            </w:pPr>
            <w:proofErr w:type="spellStart"/>
            <w:r w:rsidRPr="00E92C22">
              <w:rPr>
                <w:rFonts w:ascii="Calibri" w:hAnsi="Calibri" w:cs="Calibri"/>
              </w:rPr>
              <w:t>Tjiang</w:t>
            </w:r>
            <w:proofErr w:type="spellEnd"/>
            <w:r w:rsidRPr="00E92C22">
              <w:rPr>
                <w:rFonts w:ascii="Calibri" w:hAnsi="Calibri" w:cs="Calibri"/>
              </w:rPr>
              <w:t xml:space="preserve"> H, </w:t>
            </w:r>
            <w:proofErr w:type="spellStart"/>
            <w:r w:rsidRPr="00E92C22">
              <w:rPr>
                <w:rFonts w:ascii="Calibri" w:hAnsi="Calibri" w:cs="Calibri"/>
              </w:rPr>
              <w:t>Lahooti</w:t>
            </w:r>
            <w:proofErr w:type="spellEnd"/>
            <w:r w:rsidRPr="00E92C22">
              <w:rPr>
                <w:rFonts w:ascii="Calibri" w:hAnsi="Calibri" w:cs="Calibri"/>
              </w:rPr>
              <w:t xml:space="preserve"> H, McCorquodale T, et al (2010). Eye and eyelid abnormalities are common in patients with Hashimoto's thyroiditis. Thyroid, 20(3): 287-90.</w:t>
            </w:r>
          </w:p>
        </w:tc>
      </w:tr>
      <w:tr w:rsidR="00270FBF" w14:paraId="506F3F6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A1A0ACA" w14:textId="77777777" w:rsidR="00270FBF" w:rsidRPr="00E92C22" w:rsidRDefault="00270FBF" w:rsidP="00270FBF">
            <w:pPr>
              <w:jc w:val="center"/>
              <w:rPr>
                <w:rFonts w:ascii="Calibri" w:hAnsi="Calibri" w:cs="Calibri"/>
              </w:rPr>
            </w:pPr>
            <w:r w:rsidRPr="00E92C22">
              <w:rPr>
                <w:rFonts w:ascii="Calibri" w:hAnsi="Calibri" w:cs="Calibri"/>
              </w:rPr>
              <w:t>67013</w:t>
            </w:r>
          </w:p>
        </w:tc>
        <w:tc>
          <w:tcPr>
            <w:tcW w:w="7371" w:type="dxa"/>
            <w:tcBorders>
              <w:top w:val="single" w:sz="4" w:space="0" w:color="auto"/>
              <w:left w:val="single" w:sz="4" w:space="0" w:color="auto"/>
              <w:bottom w:val="single" w:sz="4" w:space="0" w:color="auto"/>
              <w:right w:val="single" w:sz="4" w:space="0" w:color="auto"/>
            </w:tcBorders>
            <w:hideMark/>
          </w:tcPr>
          <w:p w14:paraId="341CD049" w14:textId="77777777" w:rsidR="00270FBF" w:rsidRPr="00E92C22" w:rsidRDefault="00270FBF" w:rsidP="00270FBF">
            <w:pPr>
              <w:rPr>
                <w:rFonts w:ascii="Calibri" w:hAnsi="Calibri" w:cs="Calibri"/>
              </w:rPr>
            </w:pPr>
            <w:r w:rsidRPr="00E92C22">
              <w:rPr>
                <w:rFonts w:ascii="Calibri" w:hAnsi="Calibri" w:cs="Calibri"/>
              </w:rPr>
              <w:t>Toft G, Flyvbjerg A, Bonde JP (2006). Thyroid function in Danish greenhouse workers. Environ Health, 5: 32.</w:t>
            </w:r>
          </w:p>
        </w:tc>
      </w:tr>
      <w:tr w:rsidR="00270FBF" w14:paraId="0D751668"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6DF7BA6" w14:textId="77777777" w:rsidR="00270FBF" w:rsidRPr="00E92C22" w:rsidRDefault="00270FBF" w:rsidP="00270FBF">
            <w:pPr>
              <w:jc w:val="center"/>
              <w:rPr>
                <w:rFonts w:ascii="Calibri" w:hAnsi="Calibri" w:cs="Calibri"/>
              </w:rPr>
            </w:pPr>
            <w:r w:rsidRPr="00E92C22">
              <w:rPr>
                <w:rFonts w:ascii="Calibri" w:hAnsi="Calibri" w:cs="Calibri"/>
              </w:rPr>
              <w:t>102621</w:t>
            </w:r>
          </w:p>
        </w:tc>
        <w:tc>
          <w:tcPr>
            <w:tcW w:w="7371" w:type="dxa"/>
            <w:tcBorders>
              <w:top w:val="single" w:sz="4" w:space="0" w:color="auto"/>
              <w:left w:val="single" w:sz="4" w:space="0" w:color="auto"/>
              <w:bottom w:val="single" w:sz="4" w:space="0" w:color="auto"/>
              <w:right w:val="single" w:sz="4" w:space="0" w:color="auto"/>
            </w:tcBorders>
            <w:hideMark/>
          </w:tcPr>
          <w:p w14:paraId="56978278" w14:textId="77777777" w:rsidR="00270FBF" w:rsidRPr="00E92C22" w:rsidRDefault="00270FBF" w:rsidP="00270FBF">
            <w:pPr>
              <w:rPr>
                <w:rFonts w:ascii="Calibri" w:hAnsi="Calibri" w:cs="Calibri"/>
              </w:rPr>
            </w:pPr>
            <w:r w:rsidRPr="00E92C22">
              <w:rPr>
                <w:rFonts w:ascii="Calibri" w:hAnsi="Calibri" w:cs="Calibri"/>
              </w:rPr>
              <w:t xml:space="preserve">Toloza FJ, Mao Y, Menon LP, et al (2020). Association of thyroid function with posttraumatic stress disorder: a systematic review and meta-analysis. </w:t>
            </w:r>
            <w:proofErr w:type="spellStart"/>
            <w:r w:rsidRPr="00E92C22">
              <w:rPr>
                <w:rFonts w:ascii="Calibri" w:hAnsi="Calibri" w:cs="Calibri"/>
              </w:rPr>
              <w:t>Endocr</w:t>
            </w:r>
            <w:proofErr w:type="spellEnd"/>
            <w:r w:rsidRPr="00E92C22">
              <w:rPr>
                <w:rFonts w:ascii="Calibri" w:hAnsi="Calibri" w:cs="Calibri"/>
              </w:rPr>
              <w:t xml:space="preserve"> </w:t>
            </w:r>
            <w:proofErr w:type="spellStart"/>
            <w:r w:rsidRPr="00E92C22">
              <w:rPr>
                <w:rFonts w:ascii="Calibri" w:hAnsi="Calibri" w:cs="Calibri"/>
              </w:rPr>
              <w:t>Pract</w:t>
            </w:r>
            <w:proofErr w:type="spellEnd"/>
            <w:r w:rsidRPr="00E92C22">
              <w:rPr>
                <w:rFonts w:ascii="Calibri" w:hAnsi="Calibri" w:cs="Calibri"/>
              </w:rPr>
              <w:t>, 26(10): 1173-85.</w:t>
            </w:r>
          </w:p>
        </w:tc>
      </w:tr>
      <w:tr w:rsidR="00270FBF" w14:paraId="2CBB63A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FE93AF8" w14:textId="77777777" w:rsidR="00270FBF" w:rsidRPr="00E92C22" w:rsidRDefault="00270FBF" w:rsidP="00270FBF">
            <w:pPr>
              <w:jc w:val="center"/>
              <w:rPr>
                <w:rFonts w:ascii="Calibri" w:hAnsi="Calibri" w:cs="Calibri"/>
              </w:rPr>
            </w:pPr>
            <w:r w:rsidRPr="00E92C22">
              <w:rPr>
                <w:rFonts w:ascii="Calibri" w:hAnsi="Calibri" w:cs="Calibri"/>
              </w:rPr>
              <w:t>65372</w:t>
            </w:r>
          </w:p>
        </w:tc>
        <w:tc>
          <w:tcPr>
            <w:tcW w:w="7371" w:type="dxa"/>
            <w:tcBorders>
              <w:top w:val="single" w:sz="4" w:space="0" w:color="auto"/>
              <w:left w:val="single" w:sz="4" w:space="0" w:color="auto"/>
              <w:bottom w:val="single" w:sz="4" w:space="0" w:color="auto"/>
              <w:right w:val="single" w:sz="4" w:space="0" w:color="auto"/>
            </w:tcBorders>
            <w:hideMark/>
          </w:tcPr>
          <w:p w14:paraId="118815DC" w14:textId="77777777" w:rsidR="00270FBF" w:rsidRPr="00E92C22" w:rsidRDefault="00270FBF" w:rsidP="00270FBF">
            <w:pPr>
              <w:rPr>
                <w:rFonts w:ascii="Calibri" w:hAnsi="Calibri" w:cs="Calibri"/>
              </w:rPr>
            </w:pPr>
            <w:r w:rsidRPr="00E92C22">
              <w:rPr>
                <w:rFonts w:ascii="Calibri" w:hAnsi="Calibri" w:cs="Calibri"/>
              </w:rPr>
              <w:t xml:space="preserve">Tomer Y, Huber A (2009). The </w:t>
            </w:r>
            <w:proofErr w:type="spellStart"/>
            <w:r w:rsidRPr="00E92C22">
              <w:rPr>
                <w:rFonts w:ascii="Calibri" w:hAnsi="Calibri" w:cs="Calibri"/>
              </w:rPr>
              <w:t>etiology</w:t>
            </w:r>
            <w:proofErr w:type="spellEnd"/>
            <w:r w:rsidRPr="00E92C22">
              <w:rPr>
                <w:rFonts w:ascii="Calibri" w:hAnsi="Calibri" w:cs="Calibri"/>
              </w:rPr>
              <w:t xml:space="preserve"> of autoimmune thyroid disease: a story of genes and environment. J </w:t>
            </w:r>
            <w:proofErr w:type="spellStart"/>
            <w:r w:rsidRPr="00E92C22">
              <w:rPr>
                <w:rFonts w:ascii="Calibri" w:hAnsi="Calibri" w:cs="Calibri"/>
              </w:rPr>
              <w:t>Autoimmun</w:t>
            </w:r>
            <w:proofErr w:type="spellEnd"/>
            <w:r w:rsidRPr="00E92C22">
              <w:rPr>
                <w:rFonts w:ascii="Calibri" w:hAnsi="Calibri" w:cs="Calibri"/>
              </w:rPr>
              <w:t>, 32(3-4): 231-9.</w:t>
            </w:r>
          </w:p>
        </w:tc>
      </w:tr>
      <w:tr w:rsidR="00270FBF" w14:paraId="4800887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BE9CEA3" w14:textId="77777777" w:rsidR="00270FBF" w:rsidRPr="00E92C22" w:rsidRDefault="00270FBF" w:rsidP="00270FBF">
            <w:pPr>
              <w:jc w:val="center"/>
              <w:rPr>
                <w:rFonts w:ascii="Calibri" w:hAnsi="Calibri" w:cs="Calibri"/>
              </w:rPr>
            </w:pPr>
            <w:r w:rsidRPr="00E92C22">
              <w:rPr>
                <w:rFonts w:ascii="Calibri" w:hAnsi="Calibri" w:cs="Calibri"/>
              </w:rPr>
              <w:t>67015</w:t>
            </w:r>
          </w:p>
        </w:tc>
        <w:tc>
          <w:tcPr>
            <w:tcW w:w="7371" w:type="dxa"/>
            <w:tcBorders>
              <w:top w:val="single" w:sz="4" w:space="0" w:color="auto"/>
              <w:left w:val="single" w:sz="4" w:space="0" w:color="auto"/>
              <w:bottom w:val="single" w:sz="4" w:space="0" w:color="auto"/>
              <w:right w:val="single" w:sz="4" w:space="0" w:color="auto"/>
            </w:tcBorders>
            <w:hideMark/>
          </w:tcPr>
          <w:p w14:paraId="43A91111" w14:textId="77777777" w:rsidR="00270FBF" w:rsidRPr="00E92C22" w:rsidRDefault="00270FBF" w:rsidP="00270FBF">
            <w:pPr>
              <w:rPr>
                <w:rFonts w:ascii="Calibri" w:hAnsi="Calibri" w:cs="Calibri"/>
              </w:rPr>
            </w:pPr>
            <w:r w:rsidRPr="00E92C22">
              <w:rPr>
                <w:rFonts w:ascii="Calibri" w:hAnsi="Calibri" w:cs="Calibri"/>
              </w:rPr>
              <w:t xml:space="preserve">Tomer Y, Menconi F (2009). Interferon induced thyroiditis. Best </w:t>
            </w:r>
            <w:proofErr w:type="spellStart"/>
            <w:r w:rsidRPr="00E92C22">
              <w:rPr>
                <w:rFonts w:ascii="Calibri" w:hAnsi="Calibri" w:cs="Calibri"/>
              </w:rPr>
              <w:t>Pract</w:t>
            </w:r>
            <w:proofErr w:type="spellEnd"/>
            <w:r w:rsidRPr="00E92C22">
              <w:rPr>
                <w:rFonts w:ascii="Calibri" w:hAnsi="Calibri" w:cs="Calibri"/>
              </w:rPr>
              <w:t xml:space="preserve"> Res Clin Endocrinol </w:t>
            </w:r>
            <w:proofErr w:type="spellStart"/>
            <w:r w:rsidRPr="00E92C22">
              <w:rPr>
                <w:rFonts w:ascii="Calibri" w:hAnsi="Calibri" w:cs="Calibri"/>
              </w:rPr>
              <w:t>Metab</w:t>
            </w:r>
            <w:proofErr w:type="spellEnd"/>
            <w:r w:rsidRPr="00E92C22">
              <w:rPr>
                <w:rFonts w:ascii="Calibri" w:hAnsi="Calibri" w:cs="Calibri"/>
              </w:rPr>
              <w:t>, 23(6): 703-12.</w:t>
            </w:r>
          </w:p>
        </w:tc>
      </w:tr>
      <w:tr w:rsidR="00270FBF" w14:paraId="3C4F0E1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77F845C" w14:textId="77777777" w:rsidR="00270FBF" w:rsidRPr="00E92C22" w:rsidRDefault="00270FBF" w:rsidP="00270FBF">
            <w:pPr>
              <w:jc w:val="center"/>
              <w:rPr>
                <w:rFonts w:ascii="Calibri" w:hAnsi="Calibri" w:cs="Calibri"/>
              </w:rPr>
            </w:pPr>
            <w:r w:rsidRPr="00E92C22">
              <w:rPr>
                <w:rFonts w:ascii="Calibri" w:hAnsi="Calibri" w:cs="Calibri"/>
              </w:rPr>
              <w:t>66161</w:t>
            </w:r>
          </w:p>
        </w:tc>
        <w:tc>
          <w:tcPr>
            <w:tcW w:w="7371" w:type="dxa"/>
            <w:tcBorders>
              <w:top w:val="single" w:sz="4" w:space="0" w:color="auto"/>
              <w:left w:val="single" w:sz="4" w:space="0" w:color="auto"/>
              <w:bottom w:val="single" w:sz="4" w:space="0" w:color="auto"/>
              <w:right w:val="single" w:sz="4" w:space="0" w:color="auto"/>
            </w:tcBorders>
            <w:hideMark/>
          </w:tcPr>
          <w:p w14:paraId="52059C6E" w14:textId="77777777" w:rsidR="00270FBF" w:rsidRPr="00E92C22" w:rsidRDefault="00270FBF" w:rsidP="00270FBF">
            <w:pPr>
              <w:rPr>
                <w:rFonts w:ascii="Calibri" w:hAnsi="Calibri" w:cs="Calibri"/>
              </w:rPr>
            </w:pPr>
            <w:r w:rsidRPr="00E92C22">
              <w:rPr>
                <w:rFonts w:ascii="Calibri" w:hAnsi="Calibri" w:cs="Calibri"/>
              </w:rPr>
              <w:t>Tomer Y, Villanueva R (2004). Hepatitis C and thyroid autoimmunity: is there a link? Am J Med, 117(1): 60-1.</w:t>
            </w:r>
          </w:p>
        </w:tc>
      </w:tr>
      <w:tr w:rsidR="00270FBF" w14:paraId="71FACDD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FDC51EF" w14:textId="77777777" w:rsidR="00270FBF" w:rsidRPr="00E92C22" w:rsidRDefault="00270FBF" w:rsidP="00270FBF">
            <w:pPr>
              <w:jc w:val="center"/>
              <w:rPr>
                <w:rFonts w:ascii="Calibri" w:hAnsi="Calibri" w:cs="Calibri"/>
              </w:rPr>
            </w:pPr>
            <w:r w:rsidRPr="00E92C22">
              <w:rPr>
                <w:rFonts w:ascii="Calibri" w:hAnsi="Calibri" w:cs="Calibri"/>
              </w:rPr>
              <w:t>102375</w:t>
            </w:r>
          </w:p>
        </w:tc>
        <w:tc>
          <w:tcPr>
            <w:tcW w:w="7371" w:type="dxa"/>
            <w:tcBorders>
              <w:top w:val="single" w:sz="4" w:space="0" w:color="auto"/>
              <w:left w:val="single" w:sz="4" w:space="0" w:color="auto"/>
              <w:bottom w:val="single" w:sz="4" w:space="0" w:color="auto"/>
              <w:right w:val="single" w:sz="4" w:space="0" w:color="auto"/>
            </w:tcBorders>
            <w:hideMark/>
          </w:tcPr>
          <w:p w14:paraId="024025E7" w14:textId="77777777" w:rsidR="00270FBF" w:rsidRPr="00E92C22" w:rsidRDefault="00270FBF" w:rsidP="00270FBF">
            <w:pPr>
              <w:rPr>
                <w:rFonts w:ascii="Calibri" w:hAnsi="Calibri" w:cs="Calibri"/>
              </w:rPr>
            </w:pPr>
            <w:proofErr w:type="spellStart"/>
            <w:r w:rsidRPr="00E92C22">
              <w:rPr>
                <w:rFonts w:ascii="Calibri" w:hAnsi="Calibri" w:cs="Calibri"/>
              </w:rPr>
              <w:t>Torimoto</w:t>
            </w:r>
            <w:proofErr w:type="spellEnd"/>
            <w:r w:rsidRPr="00E92C22">
              <w:rPr>
                <w:rFonts w:ascii="Calibri" w:hAnsi="Calibri" w:cs="Calibri"/>
              </w:rPr>
              <w:t xml:space="preserve"> K, Okada Y, </w:t>
            </w:r>
            <w:proofErr w:type="spellStart"/>
            <w:r w:rsidRPr="00E92C22">
              <w:rPr>
                <w:rFonts w:ascii="Calibri" w:hAnsi="Calibri" w:cs="Calibri"/>
              </w:rPr>
              <w:t>Nakayamada</w:t>
            </w:r>
            <w:proofErr w:type="spellEnd"/>
            <w:r w:rsidRPr="00E92C22">
              <w:rPr>
                <w:rFonts w:ascii="Calibri" w:hAnsi="Calibri" w:cs="Calibri"/>
              </w:rPr>
              <w:t xml:space="preserve"> S, et al (2017). Anti-PD-1 antibody therapy induces Hashimoto's disease with an increase in peripheral blood follicular helper T cells. Thyroid, 27(10): 1335-6.</w:t>
            </w:r>
          </w:p>
        </w:tc>
      </w:tr>
      <w:tr w:rsidR="00270FBF" w14:paraId="693F56E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DB83A94" w14:textId="77777777" w:rsidR="00270FBF" w:rsidRPr="00E92C22" w:rsidRDefault="00270FBF" w:rsidP="00270FBF">
            <w:pPr>
              <w:jc w:val="center"/>
              <w:rPr>
                <w:rFonts w:ascii="Calibri" w:hAnsi="Calibri" w:cs="Calibri"/>
              </w:rPr>
            </w:pPr>
            <w:r w:rsidRPr="00E92C22">
              <w:rPr>
                <w:rFonts w:ascii="Calibri" w:hAnsi="Calibri" w:cs="Calibri"/>
              </w:rPr>
              <w:t>66930</w:t>
            </w:r>
          </w:p>
        </w:tc>
        <w:tc>
          <w:tcPr>
            <w:tcW w:w="7371" w:type="dxa"/>
            <w:tcBorders>
              <w:top w:val="single" w:sz="4" w:space="0" w:color="auto"/>
              <w:left w:val="single" w:sz="4" w:space="0" w:color="auto"/>
              <w:bottom w:val="single" w:sz="4" w:space="0" w:color="auto"/>
              <w:right w:val="single" w:sz="4" w:space="0" w:color="auto"/>
            </w:tcBorders>
            <w:hideMark/>
          </w:tcPr>
          <w:p w14:paraId="5FAC1F73" w14:textId="77777777" w:rsidR="00270FBF" w:rsidRPr="00E92C22" w:rsidRDefault="00270FBF" w:rsidP="00270FBF">
            <w:pPr>
              <w:rPr>
                <w:rFonts w:ascii="Calibri" w:hAnsi="Calibri" w:cs="Calibri"/>
              </w:rPr>
            </w:pPr>
            <w:r w:rsidRPr="006E1170">
              <w:rPr>
                <w:rFonts w:ascii="Calibri" w:hAnsi="Calibri" w:cs="Calibri"/>
                <w:lang w:val="de-DE"/>
              </w:rPr>
              <w:t xml:space="preserve">Troch M, Woehrer S, Streubel B, et al (2008). </w:t>
            </w:r>
            <w:r w:rsidRPr="00E92C22">
              <w:rPr>
                <w:rFonts w:ascii="Calibri" w:hAnsi="Calibri" w:cs="Calibri"/>
              </w:rPr>
              <w:t>Chronic autoimmune thyroiditis (Hashimoto's thyroiditis) in patients with MALT lymphoma. Ann Oncol, 19(7): 1336-9.</w:t>
            </w:r>
          </w:p>
        </w:tc>
      </w:tr>
      <w:tr w:rsidR="00270FBF" w14:paraId="08043207"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DF55A0C" w14:textId="77777777" w:rsidR="00270FBF" w:rsidRPr="00E92C22" w:rsidRDefault="00270FBF" w:rsidP="00270FBF">
            <w:pPr>
              <w:jc w:val="center"/>
              <w:rPr>
                <w:rFonts w:ascii="Calibri" w:hAnsi="Calibri" w:cs="Calibri"/>
              </w:rPr>
            </w:pPr>
            <w:r w:rsidRPr="00E92C22">
              <w:rPr>
                <w:rFonts w:ascii="Calibri" w:hAnsi="Calibri" w:cs="Calibri"/>
              </w:rPr>
              <w:t>66931</w:t>
            </w:r>
          </w:p>
        </w:tc>
        <w:tc>
          <w:tcPr>
            <w:tcW w:w="7371" w:type="dxa"/>
            <w:tcBorders>
              <w:top w:val="single" w:sz="4" w:space="0" w:color="auto"/>
              <w:left w:val="single" w:sz="4" w:space="0" w:color="auto"/>
              <w:bottom w:val="single" w:sz="4" w:space="0" w:color="auto"/>
              <w:right w:val="single" w:sz="4" w:space="0" w:color="auto"/>
            </w:tcBorders>
            <w:hideMark/>
          </w:tcPr>
          <w:p w14:paraId="088C4372" w14:textId="77777777" w:rsidR="00270FBF" w:rsidRPr="00E92C22" w:rsidRDefault="00270FBF" w:rsidP="00270FBF">
            <w:pPr>
              <w:rPr>
                <w:rFonts w:ascii="Calibri" w:hAnsi="Calibri" w:cs="Calibri"/>
              </w:rPr>
            </w:pPr>
            <w:r w:rsidRPr="006E1170">
              <w:rPr>
                <w:rFonts w:ascii="Calibri" w:hAnsi="Calibri" w:cs="Calibri"/>
                <w:lang w:val="de-DE"/>
              </w:rPr>
              <w:t xml:space="preserve">Tronko MD, Brenner AV, Olijnyk VA, et al (2006). </w:t>
            </w:r>
            <w:r w:rsidRPr="00E92C22">
              <w:rPr>
                <w:rFonts w:ascii="Calibri" w:hAnsi="Calibri" w:cs="Calibri"/>
              </w:rPr>
              <w:t xml:space="preserve">Autoimmune thyroiditis and exposure to iodine 131 in the Ukrainian cohort study of thyroid cancer and other thyroid diseases after the Chernobyl accident: results from the first screening cycle (1998-2000). J Clin Endocrinol </w:t>
            </w:r>
            <w:proofErr w:type="spellStart"/>
            <w:r w:rsidRPr="00E92C22">
              <w:rPr>
                <w:rFonts w:ascii="Calibri" w:hAnsi="Calibri" w:cs="Calibri"/>
              </w:rPr>
              <w:t>Metab</w:t>
            </w:r>
            <w:proofErr w:type="spellEnd"/>
            <w:r w:rsidRPr="00E92C22">
              <w:rPr>
                <w:rFonts w:ascii="Calibri" w:hAnsi="Calibri" w:cs="Calibri"/>
              </w:rPr>
              <w:t>, 91(11): 4344-51.</w:t>
            </w:r>
          </w:p>
        </w:tc>
      </w:tr>
      <w:tr w:rsidR="00270FBF" w14:paraId="4E3BCC1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3FFE035" w14:textId="77777777" w:rsidR="00270FBF" w:rsidRPr="00E92C22" w:rsidRDefault="00270FBF" w:rsidP="00270FBF">
            <w:pPr>
              <w:jc w:val="center"/>
              <w:rPr>
                <w:rFonts w:ascii="Calibri" w:hAnsi="Calibri" w:cs="Calibri"/>
              </w:rPr>
            </w:pPr>
            <w:r w:rsidRPr="00E92C22">
              <w:rPr>
                <w:rFonts w:ascii="Calibri" w:hAnsi="Calibri" w:cs="Calibri"/>
              </w:rPr>
              <w:t>67074</w:t>
            </w:r>
          </w:p>
        </w:tc>
        <w:tc>
          <w:tcPr>
            <w:tcW w:w="7371" w:type="dxa"/>
            <w:tcBorders>
              <w:top w:val="single" w:sz="4" w:space="0" w:color="auto"/>
              <w:left w:val="single" w:sz="4" w:space="0" w:color="auto"/>
              <w:bottom w:val="single" w:sz="4" w:space="0" w:color="auto"/>
              <w:right w:val="single" w:sz="4" w:space="0" w:color="auto"/>
            </w:tcBorders>
            <w:hideMark/>
          </w:tcPr>
          <w:p w14:paraId="2A49046E" w14:textId="77777777" w:rsidR="00270FBF" w:rsidRPr="00E92C22" w:rsidRDefault="00270FBF" w:rsidP="00270FBF">
            <w:pPr>
              <w:rPr>
                <w:rFonts w:ascii="Calibri" w:hAnsi="Calibri" w:cs="Calibri"/>
              </w:rPr>
            </w:pPr>
            <w:proofErr w:type="spellStart"/>
            <w:r w:rsidRPr="00E92C22">
              <w:rPr>
                <w:rFonts w:ascii="Calibri" w:hAnsi="Calibri" w:cs="Calibri"/>
              </w:rPr>
              <w:t>Turyk</w:t>
            </w:r>
            <w:proofErr w:type="spellEnd"/>
            <w:r w:rsidRPr="00E92C22">
              <w:rPr>
                <w:rFonts w:ascii="Calibri" w:hAnsi="Calibri" w:cs="Calibri"/>
              </w:rPr>
              <w:t xml:space="preserve"> ME, Anderson HA, Persky VW (2007). Relationships of thyroid hormones with polychlorinated biphenyls, dioxins, furans, and DDE in adults. Environ Health </w:t>
            </w:r>
            <w:proofErr w:type="spellStart"/>
            <w:r w:rsidRPr="00E92C22">
              <w:rPr>
                <w:rFonts w:ascii="Calibri" w:hAnsi="Calibri" w:cs="Calibri"/>
              </w:rPr>
              <w:t>Perspect</w:t>
            </w:r>
            <w:proofErr w:type="spellEnd"/>
            <w:r w:rsidRPr="00E92C22">
              <w:rPr>
                <w:rFonts w:ascii="Calibri" w:hAnsi="Calibri" w:cs="Calibri"/>
              </w:rPr>
              <w:t>, 115(8): 1197-203.</w:t>
            </w:r>
          </w:p>
        </w:tc>
      </w:tr>
      <w:tr w:rsidR="00270FBF" w14:paraId="69350AE3"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712AB22" w14:textId="77777777" w:rsidR="00270FBF" w:rsidRPr="00E92C22" w:rsidRDefault="00270FBF" w:rsidP="00270FBF">
            <w:pPr>
              <w:jc w:val="center"/>
              <w:rPr>
                <w:rFonts w:ascii="Calibri" w:hAnsi="Calibri" w:cs="Calibri"/>
              </w:rPr>
            </w:pPr>
            <w:r w:rsidRPr="00E92C22">
              <w:rPr>
                <w:rFonts w:ascii="Calibri" w:hAnsi="Calibri" w:cs="Calibri"/>
              </w:rPr>
              <w:t>102819</w:t>
            </w:r>
          </w:p>
        </w:tc>
        <w:tc>
          <w:tcPr>
            <w:tcW w:w="7371" w:type="dxa"/>
            <w:tcBorders>
              <w:top w:val="single" w:sz="4" w:space="0" w:color="auto"/>
              <w:left w:val="single" w:sz="4" w:space="0" w:color="auto"/>
              <w:bottom w:val="single" w:sz="4" w:space="0" w:color="auto"/>
              <w:right w:val="single" w:sz="4" w:space="0" w:color="auto"/>
            </w:tcBorders>
            <w:hideMark/>
          </w:tcPr>
          <w:p w14:paraId="523C2A71" w14:textId="77777777" w:rsidR="00270FBF" w:rsidRPr="00E92C22" w:rsidRDefault="00270FBF" w:rsidP="00270FBF">
            <w:pPr>
              <w:rPr>
                <w:rFonts w:ascii="Calibri" w:hAnsi="Calibri" w:cs="Calibri"/>
              </w:rPr>
            </w:pPr>
            <w:r w:rsidRPr="00E92C22">
              <w:rPr>
                <w:rFonts w:ascii="Calibri" w:hAnsi="Calibri" w:cs="Calibri"/>
              </w:rPr>
              <w:t xml:space="preserve">Ueda K, Kiyota A, Tsuchida M, et al (2019). Successful treatment of </w:t>
            </w:r>
            <w:proofErr w:type="spellStart"/>
            <w:r w:rsidRPr="00E92C22">
              <w:rPr>
                <w:rFonts w:ascii="Calibri" w:hAnsi="Calibri" w:cs="Calibri"/>
              </w:rPr>
              <w:t>myxedema</w:t>
            </w:r>
            <w:proofErr w:type="spellEnd"/>
            <w:r w:rsidRPr="00E92C22">
              <w:rPr>
                <w:rFonts w:ascii="Calibri" w:hAnsi="Calibri" w:cs="Calibri"/>
              </w:rPr>
              <w:t xml:space="preserve"> coma with a combination of levothyroxine and liothyronine. </w:t>
            </w:r>
            <w:proofErr w:type="spellStart"/>
            <w:r w:rsidRPr="00E92C22">
              <w:rPr>
                <w:rFonts w:ascii="Calibri" w:hAnsi="Calibri" w:cs="Calibri"/>
              </w:rPr>
              <w:t>Endocr</w:t>
            </w:r>
            <w:proofErr w:type="spellEnd"/>
            <w:r w:rsidRPr="00E92C22">
              <w:rPr>
                <w:rFonts w:ascii="Calibri" w:hAnsi="Calibri" w:cs="Calibri"/>
              </w:rPr>
              <w:t xml:space="preserve"> J, 66(5): 469-74.</w:t>
            </w:r>
          </w:p>
        </w:tc>
      </w:tr>
      <w:tr w:rsidR="00270FBF" w14:paraId="7EA4920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2EF9E80" w14:textId="77777777" w:rsidR="00270FBF" w:rsidRPr="00E92C22" w:rsidRDefault="00270FBF" w:rsidP="00270FBF">
            <w:pPr>
              <w:jc w:val="center"/>
              <w:rPr>
                <w:rFonts w:ascii="Calibri" w:hAnsi="Calibri" w:cs="Calibri"/>
              </w:rPr>
            </w:pPr>
            <w:r w:rsidRPr="00E92C22">
              <w:rPr>
                <w:rFonts w:ascii="Calibri" w:hAnsi="Calibri" w:cs="Calibri"/>
              </w:rPr>
              <w:t>67075</w:t>
            </w:r>
          </w:p>
        </w:tc>
        <w:tc>
          <w:tcPr>
            <w:tcW w:w="7371" w:type="dxa"/>
            <w:tcBorders>
              <w:top w:val="single" w:sz="4" w:space="0" w:color="auto"/>
              <w:left w:val="single" w:sz="4" w:space="0" w:color="auto"/>
              <w:bottom w:val="single" w:sz="4" w:space="0" w:color="auto"/>
              <w:right w:val="single" w:sz="4" w:space="0" w:color="auto"/>
            </w:tcBorders>
            <w:hideMark/>
          </w:tcPr>
          <w:p w14:paraId="2DA06DE4" w14:textId="77777777" w:rsidR="00270FBF" w:rsidRPr="00E92C22" w:rsidRDefault="00270FBF" w:rsidP="00270FBF">
            <w:pPr>
              <w:rPr>
                <w:rFonts w:ascii="Calibri" w:hAnsi="Calibri" w:cs="Calibri"/>
              </w:rPr>
            </w:pPr>
            <w:r w:rsidRPr="00E92C22">
              <w:rPr>
                <w:rFonts w:ascii="Calibri" w:hAnsi="Calibri" w:cs="Calibri"/>
              </w:rPr>
              <w:t xml:space="preserve">Umar H, </w:t>
            </w:r>
            <w:proofErr w:type="spellStart"/>
            <w:r w:rsidRPr="00E92C22">
              <w:rPr>
                <w:rFonts w:ascii="Calibri" w:hAnsi="Calibri" w:cs="Calibri"/>
              </w:rPr>
              <w:t>Muallima</w:t>
            </w:r>
            <w:proofErr w:type="spellEnd"/>
            <w:r w:rsidRPr="00E92C22">
              <w:rPr>
                <w:rFonts w:ascii="Calibri" w:hAnsi="Calibri" w:cs="Calibri"/>
              </w:rPr>
              <w:t xml:space="preserve"> N, Adam JM, et al (2010). Hashimoto's thyroiditis following Grave's disease. Acta Med </w:t>
            </w:r>
            <w:proofErr w:type="spellStart"/>
            <w:r w:rsidRPr="00E92C22">
              <w:rPr>
                <w:rFonts w:ascii="Calibri" w:hAnsi="Calibri" w:cs="Calibri"/>
              </w:rPr>
              <w:t>Indones</w:t>
            </w:r>
            <w:proofErr w:type="spellEnd"/>
            <w:r w:rsidRPr="00E92C22">
              <w:rPr>
                <w:rFonts w:ascii="Calibri" w:hAnsi="Calibri" w:cs="Calibri"/>
              </w:rPr>
              <w:t>, 42(1): 31-5.</w:t>
            </w:r>
          </w:p>
        </w:tc>
      </w:tr>
      <w:tr w:rsidR="00270FBF" w14:paraId="6351386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A83EED8" w14:textId="77777777" w:rsidR="00270FBF" w:rsidRPr="00E92C22" w:rsidRDefault="00270FBF" w:rsidP="00270FBF">
            <w:pPr>
              <w:jc w:val="center"/>
              <w:rPr>
                <w:rFonts w:ascii="Calibri" w:hAnsi="Calibri" w:cs="Calibri"/>
              </w:rPr>
            </w:pPr>
            <w:r w:rsidRPr="00E92C22">
              <w:rPr>
                <w:rFonts w:ascii="Calibri" w:hAnsi="Calibri" w:cs="Calibri"/>
              </w:rPr>
              <w:lastRenderedPageBreak/>
              <w:t>60297</w:t>
            </w:r>
          </w:p>
        </w:tc>
        <w:tc>
          <w:tcPr>
            <w:tcW w:w="7371" w:type="dxa"/>
            <w:tcBorders>
              <w:top w:val="single" w:sz="4" w:space="0" w:color="auto"/>
              <w:left w:val="single" w:sz="4" w:space="0" w:color="auto"/>
              <w:bottom w:val="single" w:sz="4" w:space="0" w:color="auto"/>
              <w:right w:val="single" w:sz="4" w:space="0" w:color="auto"/>
            </w:tcBorders>
            <w:hideMark/>
          </w:tcPr>
          <w:p w14:paraId="026E7A29" w14:textId="77777777" w:rsidR="00270FBF" w:rsidRPr="00E92C22" w:rsidRDefault="00270FBF" w:rsidP="00270FBF">
            <w:pPr>
              <w:rPr>
                <w:rFonts w:ascii="Calibri" w:hAnsi="Calibri" w:cs="Calibri"/>
              </w:rPr>
            </w:pPr>
            <w:r w:rsidRPr="00E92C22">
              <w:rPr>
                <w:rFonts w:ascii="Calibri" w:hAnsi="Calibri" w:cs="Calibri"/>
              </w:rPr>
              <w:t>United Nations Committee on the Effects of Atomic Radiation (UNSCEAR) (2008). Effects of ionizing radiation. UNSCEAR 2006 Report. Scientific Annexes A and B. United Nations Scientific Committee on the Effects of Atomic Radiation, Volume 1. United Nations Publication.</w:t>
            </w:r>
          </w:p>
        </w:tc>
      </w:tr>
      <w:tr w:rsidR="00270FBF" w14:paraId="7C5B55AB"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DECD801" w14:textId="77777777" w:rsidR="00270FBF" w:rsidRPr="00E92C22" w:rsidRDefault="00270FBF" w:rsidP="00270FBF">
            <w:pPr>
              <w:jc w:val="center"/>
              <w:rPr>
                <w:rFonts w:ascii="Calibri" w:hAnsi="Calibri" w:cs="Calibri"/>
              </w:rPr>
            </w:pPr>
            <w:r w:rsidRPr="00E92C22">
              <w:rPr>
                <w:rFonts w:ascii="Calibri" w:hAnsi="Calibri" w:cs="Calibri"/>
              </w:rPr>
              <w:t>61775</w:t>
            </w:r>
          </w:p>
        </w:tc>
        <w:tc>
          <w:tcPr>
            <w:tcW w:w="7371" w:type="dxa"/>
            <w:tcBorders>
              <w:top w:val="single" w:sz="4" w:space="0" w:color="auto"/>
              <w:left w:val="single" w:sz="4" w:space="0" w:color="auto"/>
              <w:bottom w:val="single" w:sz="4" w:space="0" w:color="auto"/>
              <w:right w:val="single" w:sz="4" w:space="0" w:color="auto"/>
            </w:tcBorders>
            <w:hideMark/>
          </w:tcPr>
          <w:p w14:paraId="42276505" w14:textId="77777777" w:rsidR="00270FBF" w:rsidRPr="00E92C22" w:rsidRDefault="00270FBF" w:rsidP="00270FBF">
            <w:pPr>
              <w:rPr>
                <w:rFonts w:ascii="Calibri" w:hAnsi="Calibri" w:cs="Calibri"/>
              </w:rPr>
            </w:pPr>
            <w:r w:rsidRPr="00E92C22">
              <w:rPr>
                <w:rFonts w:ascii="Calibri" w:hAnsi="Calibri" w:cs="Calibri"/>
              </w:rPr>
              <w:t>United Nations Committee on the Effects of Atomic Radiation (UNSCEAR) (2006). Effects of ionizing radiation. Report to the General Assembly, Vol 1: 1-11. United Nations Publication.</w:t>
            </w:r>
          </w:p>
        </w:tc>
      </w:tr>
      <w:tr w:rsidR="00270FBF" w14:paraId="6395DE8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6F26DB1" w14:textId="77777777" w:rsidR="00270FBF" w:rsidRPr="00E92C22" w:rsidRDefault="00270FBF" w:rsidP="00270FBF">
            <w:pPr>
              <w:jc w:val="center"/>
              <w:rPr>
                <w:rFonts w:ascii="Calibri" w:hAnsi="Calibri" w:cs="Calibri"/>
              </w:rPr>
            </w:pPr>
            <w:r w:rsidRPr="00E92C22">
              <w:rPr>
                <w:rFonts w:ascii="Calibri" w:hAnsi="Calibri" w:cs="Calibri"/>
              </w:rPr>
              <w:t>63163</w:t>
            </w:r>
          </w:p>
        </w:tc>
        <w:tc>
          <w:tcPr>
            <w:tcW w:w="7371" w:type="dxa"/>
            <w:tcBorders>
              <w:top w:val="single" w:sz="4" w:space="0" w:color="auto"/>
              <w:left w:val="single" w:sz="4" w:space="0" w:color="auto"/>
              <w:bottom w:val="single" w:sz="4" w:space="0" w:color="auto"/>
              <w:right w:val="single" w:sz="4" w:space="0" w:color="auto"/>
            </w:tcBorders>
            <w:hideMark/>
          </w:tcPr>
          <w:p w14:paraId="2D6700C9" w14:textId="77777777" w:rsidR="00270FBF" w:rsidRPr="00E92C22" w:rsidRDefault="00270FBF" w:rsidP="00270FBF">
            <w:pPr>
              <w:rPr>
                <w:rFonts w:ascii="Calibri" w:hAnsi="Calibri" w:cs="Calibri"/>
              </w:rPr>
            </w:pPr>
            <w:r w:rsidRPr="00E92C22">
              <w:rPr>
                <w:rFonts w:ascii="Calibri" w:hAnsi="Calibri" w:cs="Calibri"/>
              </w:rPr>
              <w:t>United Nations Scientific Committee on the Effects of Atomic Radiation (UNSCEAR) (2006). Effects of ionizing radiation: Epidemiological evaluation of cardiovascular disease and other non-cancer disease following radiation exposure. Annex B, Report Vol 1: 325-83. Retrieved 16 January 2012, from http://www.unscear.org/docs/reports/2006/07-82087_Report_Annex_B_Web.pdf</w:t>
            </w:r>
          </w:p>
        </w:tc>
      </w:tr>
      <w:tr w:rsidR="00270FBF" w14:paraId="5A3900B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787EEFE" w14:textId="77777777" w:rsidR="00270FBF" w:rsidRPr="00E92C22" w:rsidRDefault="00270FBF" w:rsidP="00270FBF">
            <w:pPr>
              <w:jc w:val="center"/>
              <w:rPr>
                <w:rFonts w:ascii="Calibri" w:hAnsi="Calibri" w:cs="Calibri"/>
              </w:rPr>
            </w:pPr>
            <w:r w:rsidRPr="00E92C22">
              <w:rPr>
                <w:rFonts w:ascii="Calibri" w:hAnsi="Calibri" w:cs="Calibri"/>
              </w:rPr>
              <w:t>66968</w:t>
            </w:r>
          </w:p>
        </w:tc>
        <w:tc>
          <w:tcPr>
            <w:tcW w:w="7371" w:type="dxa"/>
            <w:tcBorders>
              <w:top w:val="single" w:sz="4" w:space="0" w:color="auto"/>
              <w:left w:val="single" w:sz="4" w:space="0" w:color="auto"/>
              <w:bottom w:val="single" w:sz="4" w:space="0" w:color="auto"/>
              <w:right w:val="single" w:sz="4" w:space="0" w:color="auto"/>
            </w:tcBorders>
            <w:hideMark/>
          </w:tcPr>
          <w:p w14:paraId="04E82DFD" w14:textId="77777777" w:rsidR="00270FBF" w:rsidRPr="00E92C22" w:rsidRDefault="00270FBF" w:rsidP="00270FBF">
            <w:pPr>
              <w:rPr>
                <w:rFonts w:ascii="Calibri" w:hAnsi="Calibri" w:cs="Calibri"/>
              </w:rPr>
            </w:pPr>
            <w:r w:rsidRPr="00E92C22">
              <w:rPr>
                <w:rFonts w:ascii="Calibri" w:hAnsi="Calibri" w:cs="Calibri"/>
              </w:rPr>
              <w:t>Vaidya B, Pearce SH (2008). Management of hypothyroidism in adults. BMJ, 337: a801.</w:t>
            </w:r>
          </w:p>
        </w:tc>
      </w:tr>
      <w:tr w:rsidR="00270FBF" w14:paraId="18839F8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7DDB3CA" w14:textId="77777777" w:rsidR="00270FBF" w:rsidRPr="00E92C22" w:rsidRDefault="00270FBF" w:rsidP="00270FBF">
            <w:pPr>
              <w:jc w:val="center"/>
              <w:rPr>
                <w:rFonts w:ascii="Calibri" w:hAnsi="Calibri" w:cs="Calibri"/>
              </w:rPr>
            </w:pPr>
            <w:r w:rsidRPr="00E92C22">
              <w:rPr>
                <w:rFonts w:ascii="Calibri" w:hAnsi="Calibri" w:cs="Calibri"/>
              </w:rPr>
              <w:t>103393</w:t>
            </w:r>
          </w:p>
        </w:tc>
        <w:tc>
          <w:tcPr>
            <w:tcW w:w="7371" w:type="dxa"/>
            <w:tcBorders>
              <w:top w:val="single" w:sz="4" w:space="0" w:color="auto"/>
              <w:left w:val="single" w:sz="4" w:space="0" w:color="auto"/>
              <w:bottom w:val="single" w:sz="4" w:space="0" w:color="auto"/>
              <w:right w:val="single" w:sz="4" w:space="0" w:color="auto"/>
            </w:tcBorders>
            <w:hideMark/>
          </w:tcPr>
          <w:p w14:paraId="6F472C83" w14:textId="77777777" w:rsidR="00270FBF" w:rsidRPr="00E92C22" w:rsidRDefault="00270FBF" w:rsidP="00270FBF">
            <w:pPr>
              <w:rPr>
                <w:rFonts w:ascii="Calibri" w:hAnsi="Calibri" w:cs="Calibri"/>
              </w:rPr>
            </w:pPr>
            <w:r w:rsidRPr="006E1170">
              <w:rPr>
                <w:rFonts w:ascii="Calibri" w:hAnsi="Calibri" w:cs="Calibri"/>
                <w:lang w:val="de-DE"/>
              </w:rPr>
              <w:t xml:space="preserve">Vaja R, Agius M, Zaman R (2013). </w:t>
            </w:r>
            <w:r w:rsidRPr="00E92C22">
              <w:rPr>
                <w:rFonts w:ascii="Calibri" w:hAnsi="Calibri" w:cs="Calibri"/>
              </w:rPr>
              <w:t xml:space="preserve">Audit to assess the prevalence of autoimmune disorders among patients suffering from psychiatric illnesses. </w:t>
            </w:r>
            <w:proofErr w:type="spellStart"/>
            <w:r w:rsidRPr="00E92C22">
              <w:rPr>
                <w:rFonts w:ascii="Calibri" w:hAnsi="Calibri" w:cs="Calibri"/>
              </w:rPr>
              <w:t>Psychiatr</w:t>
            </w:r>
            <w:proofErr w:type="spellEnd"/>
            <w:r w:rsidRPr="00E92C22">
              <w:rPr>
                <w:rFonts w:ascii="Calibri" w:hAnsi="Calibri" w:cs="Calibri"/>
              </w:rPr>
              <w:t xml:space="preserve"> </w:t>
            </w:r>
            <w:proofErr w:type="spellStart"/>
            <w:r w:rsidRPr="00E92C22">
              <w:rPr>
                <w:rFonts w:ascii="Calibri" w:hAnsi="Calibri" w:cs="Calibri"/>
              </w:rPr>
              <w:t>Danub</w:t>
            </w:r>
            <w:proofErr w:type="spellEnd"/>
            <w:r w:rsidRPr="00E92C22">
              <w:rPr>
                <w:rFonts w:ascii="Calibri" w:hAnsi="Calibri" w:cs="Calibri"/>
              </w:rPr>
              <w:t>, 25(Suppl 2): S305-14.</w:t>
            </w:r>
          </w:p>
        </w:tc>
      </w:tr>
      <w:tr w:rsidR="00270FBF" w14:paraId="5EBEF10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C8B6399" w14:textId="77777777" w:rsidR="00270FBF" w:rsidRPr="00E92C22" w:rsidRDefault="00270FBF" w:rsidP="00270FBF">
            <w:pPr>
              <w:jc w:val="center"/>
              <w:rPr>
                <w:rFonts w:ascii="Calibri" w:hAnsi="Calibri" w:cs="Calibri"/>
              </w:rPr>
            </w:pPr>
            <w:r w:rsidRPr="00E92C22">
              <w:rPr>
                <w:rFonts w:ascii="Calibri" w:hAnsi="Calibri" w:cs="Calibri"/>
              </w:rPr>
              <w:t>64583</w:t>
            </w:r>
          </w:p>
        </w:tc>
        <w:tc>
          <w:tcPr>
            <w:tcW w:w="7371" w:type="dxa"/>
            <w:tcBorders>
              <w:top w:val="single" w:sz="4" w:space="0" w:color="auto"/>
              <w:left w:val="single" w:sz="4" w:space="0" w:color="auto"/>
              <w:bottom w:val="single" w:sz="4" w:space="0" w:color="auto"/>
              <w:right w:val="single" w:sz="4" w:space="0" w:color="auto"/>
            </w:tcBorders>
            <w:hideMark/>
          </w:tcPr>
          <w:p w14:paraId="5A78937C" w14:textId="77777777" w:rsidR="00270FBF" w:rsidRPr="00E92C22" w:rsidRDefault="00270FBF" w:rsidP="00270FBF">
            <w:pPr>
              <w:rPr>
                <w:rFonts w:ascii="Calibri" w:hAnsi="Calibri" w:cs="Calibri"/>
              </w:rPr>
            </w:pPr>
            <w:r w:rsidRPr="00E92C22">
              <w:rPr>
                <w:rFonts w:ascii="Calibri" w:hAnsi="Calibri" w:cs="Calibri"/>
              </w:rPr>
              <w:t>Vanderpump MP (2011). The epidemiology of thyroid disease. Br Med Bull, 99: 39-51.</w:t>
            </w:r>
          </w:p>
        </w:tc>
      </w:tr>
      <w:tr w:rsidR="00270FBF" w14:paraId="5F032A6F"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E30C852" w14:textId="77777777" w:rsidR="00270FBF" w:rsidRPr="00E92C22" w:rsidRDefault="00270FBF" w:rsidP="00270FBF">
            <w:pPr>
              <w:jc w:val="center"/>
              <w:rPr>
                <w:rFonts w:ascii="Calibri" w:hAnsi="Calibri" w:cs="Calibri"/>
              </w:rPr>
            </w:pPr>
            <w:r w:rsidRPr="00E92C22">
              <w:rPr>
                <w:rFonts w:ascii="Calibri" w:hAnsi="Calibri" w:cs="Calibri"/>
              </w:rPr>
              <w:t>64579</w:t>
            </w:r>
          </w:p>
        </w:tc>
        <w:tc>
          <w:tcPr>
            <w:tcW w:w="7371" w:type="dxa"/>
            <w:tcBorders>
              <w:top w:val="single" w:sz="4" w:space="0" w:color="auto"/>
              <w:left w:val="single" w:sz="4" w:space="0" w:color="auto"/>
              <w:bottom w:val="single" w:sz="4" w:space="0" w:color="auto"/>
              <w:right w:val="single" w:sz="4" w:space="0" w:color="auto"/>
            </w:tcBorders>
            <w:hideMark/>
          </w:tcPr>
          <w:p w14:paraId="1081CF87" w14:textId="77777777" w:rsidR="00270FBF" w:rsidRPr="00E92C22" w:rsidRDefault="00270FBF" w:rsidP="00270FBF">
            <w:pPr>
              <w:rPr>
                <w:rFonts w:ascii="Calibri" w:hAnsi="Calibri" w:cs="Calibri"/>
              </w:rPr>
            </w:pPr>
            <w:r w:rsidRPr="00E92C22">
              <w:rPr>
                <w:rFonts w:ascii="Calibri" w:hAnsi="Calibri" w:cs="Calibri"/>
              </w:rPr>
              <w:t xml:space="preserve">Vestergaard P (2002). Smoking and thyroid disorders--a meta-analysis. </w:t>
            </w:r>
            <w:proofErr w:type="spellStart"/>
            <w:r w:rsidRPr="00E92C22">
              <w:rPr>
                <w:rFonts w:ascii="Calibri" w:hAnsi="Calibri" w:cs="Calibri"/>
              </w:rPr>
              <w:t>Eur</w:t>
            </w:r>
            <w:proofErr w:type="spellEnd"/>
            <w:r w:rsidRPr="00E92C22">
              <w:rPr>
                <w:rFonts w:ascii="Calibri" w:hAnsi="Calibri" w:cs="Calibri"/>
              </w:rPr>
              <w:t xml:space="preserve"> J Endocrinol, 146(2): 153-61.</w:t>
            </w:r>
          </w:p>
        </w:tc>
      </w:tr>
      <w:tr w:rsidR="00270FBF" w14:paraId="0885135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77FCD9A" w14:textId="77777777" w:rsidR="00270FBF" w:rsidRPr="00E92C22" w:rsidRDefault="00270FBF" w:rsidP="00270FBF">
            <w:pPr>
              <w:jc w:val="center"/>
              <w:rPr>
                <w:rFonts w:ascii="Calibri" w:hAnsi="Calibri" w:cs="Calibri"/>
              </w:rPr>
            </w:pPr>
            <w:r w:rsidRPr="00E92C22">
              <w:rPr>
                <w:rFonts w:ascii="Calibri" w:hAnsi="Calibri" w:cs="Calibri"/>
              </w:rPr>
              <w:t>64893</w:t>
            </w:r>
          </w:p>
        </w:tc>
        <w:tc>
          <w:tcPr>
            <w:tcW w:w="7371" w:type="dxa"/>
            <w:tcBorders>
              <w:top w:val="single" w:sz="4" w:space="0" w:color="auto"/>
              <w:left w:val="single" w:sz="4" w:space="0" w:color="auto"/>
              <w:bottom w:val="single" w:sz="4" w:space="0" w:color="auto"/>
              <w:right w:val="single" w:sz="4" w:space="0" w:color="auto"/>
            </w:tcBorders>
            <w:hideMark/>
          </w:tcPr>
          <w:p w14:paraId="1CFF484A" w14:textId="77777777" w:rsidR="00270FBF" w:rsidRPr="00E92C22" w:rsidRDefault="00270FBF" w:rsidP="00270FBF">
            <w:pPr>
              <w:rPr>
                <w:rFonts w:ascii="Calibri" w:hAnsi="Calibri" w:cs="Calibri"/>
              </w:rPr>
            </w:pPr>
            <w:r w:rsidRPr="00E92C22">
              <w:rPr>
                <w:rFonts w:ascii="Calibri" w:hAnsi="Calibri" w:cs="Calibri"/>
              </w:rPr>
              <w:t xml:space="preserve">Vestergaard P, Rejnmark L, Weeke J, et al (2002). Smoking as a risk factor for Graves' disease, toxic nodular </w:t>
            </w:r>
            <w:proofErr w:type="spellStart"/>
            <w:r w:rsidRPr="00E92C22">
              <w:rPr>
                <w:rFonts w:ascii="Calibri" w:hAnsi="Calibri" w:cs="Calibri"/>
              </w:rPr>
              <w:t>goiter</w:t>
            </w:r>
            <w:proofErr w:type="spellEnd"/>
            <w:r w:rsidRPr="00E92C22">
              <w:rPr>
                <w:rFonts w:ascii="Calibri" w:hAnsi="Calibri" w:cs="Calibri"/>
              </w:rPr>
              <w:t>, and autoimmune hypothyroidism. Thyroid, 12(1): 69-75.</w:t>
            </w:r>
          </w:p>
        </w:tc>
      </w:tr>
      <w:tr w:rsidR="00270FBF" w14:paraId="1B1BB0B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4434C30" w14:textId="77777777" w:rsidR="00270FBF" w:rsidRPr="00E92C22" w:rsidRDefault="00270FBF" w:rsidP="00270FBF">
            <w:pPr>
              <w:jc w:val="center"/>
              <w:rPr>
                <w:rFonts w:ascii="Calibri" w:hAnsi="Calibri" w:cs="Calibri"/>
              </w:rPr>
            </w:pPr>
            <w:r w:rsidRPr="00E92C22">
              <w:rPr>
                <w:rFonts w:ascii="Calibri" w:hAnsi="Calibri" w:cs="Calibri"/>
              </w:rPr>
              <w:t>101888</w:t>
            </w:r>
          </w:p>
        </w:tc>
        <w:tc>
          <w:tcPr>
            <w:tcW w:w="7371" w:type="dxa"/>
            <w:tcBorders>
              <w:top w:val="single" w:sz="4" w:space="0" w:color="auto"/>
              <w:left w:val="single" w:sz="4" w:space="0" w:color="auto"/>
              <w:bottom w:val="single" w:sz="4" w:space="0" w:color="auto"/>
              <w:right w:val="single" w:sz="4" w:space="0" w:color="auto"/>
            </w:tcBorders>
            <w:hideMark/>
          </w:tcPr>
          <w:p w14:paraId="54CEC300" w14:textId="77777777" w:rsidR="00270FBF" w:rsidRPr="00E92C22" w:rsidRDefault="00270FBF" w:rsidP="00270FBF">
            <w:pPr>
              <w:rPr>
                <w:rFonts w:ascii="Calibri" w:hAnsi="Calibri" w:cs="Calibri"/>
              </w:rPr>
            </w:pPr>
            <w:r w:rsidRPr="006E1170">
              <w:rPr>
                <w:rFonts w:ascii="Calibri" w:hAnsi="Calibri" w:cs="Calibri"/>
                <w:lang w:val="de-DE"/>
              </w:rPr>
              <w:t xml:space="preserve">Vezali E, Elefsiniotis I, Mihas C, et al (2009). </w:t>
            </w:r>
            <w:r w:rsidRPr="00E92C22">
              <w:rPr>
                <w:rFonts w:ascii="Calibri" w:hAnsi="Calibri" w:cs="Calibri"/>
              </w:rPr>
              <w:t>Thyroid dysfunction in patients with chronic hepatitis C: virus- or therapy-related? J Gastroenterol Hepatol, 24(6): 1024-9.</w:t>
            </w:r>
          </w:p>
        </w:tc>
      </w:tr>
      <w:tr w:rsidR="00270FBF" w14:paraId="4E7C076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0563A0A" w14:textId="77777777" w:rsidR="00270FBF" w:rsidRPr="00E92C22" w:rsidRDefault="00270FBF" w:rsidP="00270FBF">
            <w:pPr>
              <w:jc w:val="center"/>
              <w:rPr>
                <w:rFonts w:ascii="Calibri" w:hAnsi="Calibri" w:cs="Calibri"/>
              </w:rPr>
            </w:pPr>
            <w:r w:rsidRPr="00E92C22">
              <w:rPr>
                <w:rFonts w:ascii="Calibri" w:hAnsi="Calibri" w:cs="Calibri"/>
              </w:rPr>
              <w:t>80740</w:t>
            </w:r>
          </w:p>
        </w:tc>
        <w:tc>
          <w:tcPr>
            <w:tcW w:w="7371" w:type="dxa"/>
            <w:tcBorders>
              <w:top w:val="single" w:sz="4" w:space="0" w:color="auto"/>
              <w:left w:val="single" w:sz="4" w:space="0" w:color="auto"/>
              <w:bottom w:val="single" w:sz="4" w:space="0" w:color="auto"/>
              <w:right w:val="single" w:sz="4" w:space="0" w:color="auto"/>
            </w:tcBorders>
            <w:hideMark/>
          </w:tcPr>
          <w:p w14:paraId="56FD4CE6" w14:textId="77777777" w:rsidR="00270FBF" w:rsidRPr="00E92C22" w:rsidRDefault="00270FBF" w:rsidP="00270FBF">
            <w:pPr>
              <w:rPr>
                <w:rFonts w:ascii="Calibri" w:hAnsi="Calibri" w:cs="Calibri"/>
              </w:rPr>
            </w:pPr>
            <w:r w:rsidRPr="00E92C22">
              <w:rPr>
                <w:rFonts w:ascii="Calibri" w:hAnsi="Calibri" w:cs="Calibri"/>
              </w:rPr>
              <w:t xml:space="preserve">Wadas TJ, Pandya DN, </w:t>
            </w:r>
            <w:proofErr w:type="spellStart"/>
            <w:r w:rsidRPr="00E92C22">
              <w:rPr>
                <w:rFonts w:ascii="Calibri" w:hAnsi="Calibri" w:cs="Calibri"/>
              </w:rPr>
              <w:t>Solingapuram</w:t>
            </w:r>
            <w:proofErr w:type="spellEnd"/>
            <w:r w:rsidRPr="00E92C22">
              <w:rPr>
                <w:rFonts w:ascii="Calibri" w:hAnsi="Calibri" w:cs="Calibri"/>
              </w:rPr>
              <w:t xml:space="preserve"> et al (2014). Molecular targeted a-particle therapy for oncologic applications. AJR Am J Roentgenol, 203(2): 253-60.</w:t>
            </w:r>
          </w:p>
        </w:tc>
      </w:tr>
      <w:tr w:rsidR="00270FBF" w14:paraId="0EBF7CF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734807E" w14:textId="77777777" w:rsidR="00270FBF" w:rsidRPr="00E92C22" w:rsidRDefault="00270FBF" w:rsidP="00270FBF">
            <w:pPr>
              <w:jc w:val="center"/>
              <w:rPr>
                <w:rFonts w:ascii="Calibri" w:hAnsi="Calibri" w:cs="Calibri"/>
              </w:rPr>
            </w:pPr>
            <w:r w:rsidRPr="00E92C22">
              <w:rPr>
                <w:rFonts w:ascii="Calibri" w:hAnsi="Calibri" w:cs="Calibri"/>
              </w:rPr>
              <w:t>102415</w:t>
            </w:r>
          </w:p>
        </w:tc>
        <w:tc>
          <w:tcPr>
            <w:tcW w:w="7371" w:type="dxa"/>
            <w:tcBorders>
              <w:top w:val="single" w:sz="4" w:space="0" w:color="auto"/>
              <w:left w:val="single" w:sz="4" w:space="0" w:color="auto"/>
              <w:bottom w:val="single" w:sz="4" w:space="0" w:color="auto"/>
              <w:right w:val="single" w:sz="4" w:space="0" w:color="auto"/>
            </w:tcBorders>
            <w:hideMark/>
          </w:tcPr>
          <w:p w14:paraId="04320A3D" w14:textId="77777777" w:rsidR="00270FBF" w:rsidRPr="00E92C22" w:rsidRDefault="00270FBF" w:rsidP="00270FBF">
            <w:pPr>
              <w:rPr>
                <w:rFonts w:ascii="Calibri" w:hAnsi="Calibri" w:cs="Calibri"/>
              </w:rPr>
            </w:pPr>
            <w:r w:rsidRPr="00E92C22">
              <w:rPr>
                <w:rFonts w:ascii="Calibri" w:hAnsi="Calibri" w:cs="Calibri"/>
              </w:rPr>
              <w:t>Wan S, Jin B, Ren B, et al (2020). The relationship between high iodine consumption and levels of autoimmune thyroiditis-related biomarkers in a Chinese population: a meta-analysis. Biol Trace Elem Res, 196(2): 410-8.</w:t>
            </w:r>
          </w:p>
        </w:tc>
      </w:tr>
      <w:tr w:rsidR="00270FBF" w14:paraId="2D68BCB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328AE32" w14:textId="77777777" w:rsidR="00270FBF" w:rsidRPr="00E92C22" w:rsidRDefault="00270FBF" w:rsidP="00270FBF">
            <w:pPr>
              <w:jc w:val="center"/>
              <w:rPr>
                <w:rFonts w:ascii="Calibri" w:hAnsi="Calibri" w:cs="Calibri"/>
              </w:rPr>
            </w:pPr>
            <w:r w:rsidRPr="00E92C22">
              <w:rPr>
                <w:rFonts w:ascii="Calibri" w:hAnsi="Calibri" w:cs="Calibri"/>
              </w:rPr>
              <w:t>102820</w:t>
            </w:r>
          </w:p>
        </w:tc>
        <w:tc>
          <w:tcPr>
            <w:tcW w:w="7371" w:type="dxa"/>
            <w:tcBorders>
              <w:top w:val="single" w:sz="4" w:space="0" w:color="auto"/>
              <w:left w:val="single" w:sz="4" w:space="0" w:color="auto"/>
              <w:bottom w:val="single" w:sz="4" w:space="0" w:color="auto"/>
              <w:right w:val="single" w:sz="4" w:space="0" w:color="auto"/>
            </w:tcBorders>
            <w:hideMark/>
          </w:tcPr>
          <w:p w14:paraId="2AAF980C" w14:textId="77777777" w:rsidR="00270FBF" w:rsidRPr="00E92C22" w:rsidRDefault="00270FBF" w:rsidP="00270FBF">
            <w:pPr>
              <w:rPr>
                <w:rFonts w:ascii="Calibri" w:hAnsi="Calibri" w:cs="Calibri"/>
              </w:rPr>
            </w:pPr>
            <w:r w:rsidRPr="00E92C22">
              <w:rPr>
                <w:rFonts w:ascii="Calibri" w:hAnsi="Calibri" w:cs="Calibri"/>
              </w:rPr>
              <w:t xml:space="preserve">Wang B, Song R, He W, et al (2018). Sex differences in the associations of obesity with hypothyroidism and thyroid autoimmunity among Chinese adults. Front </w:t>
            </w:r>
            <w:proofErr w:type="spellStart"/>
            <w:r w:rsidRPr="00E92C22">
              <w:rPr>
                <w:rFonts w:ascii="Calibri" w:hAnsi="Calibri" w:cs="Calibri"/>
              </w:rPr>
              <w:t>Physiol</w:t>
            </w:r>
            <w:proofErr w:type="spellEnd"/>
            <w:r w:rsidRPr="00E92C22">
              <w:rPr>
                <w:rFonts w:ascii="Calibri" w:hAnsi="Calibri" w:cs="Calibri"/>
              </w:rPr>
              <w:t>, 9: 1397.</w:t>
            </w:r>
          </w:p>
        </w:tc>
      </w:tr>
      <w:tr w:rsidR="00270FBF" w14:paraId="6C9A5FF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61C3602" w14:textId="77777777" w:rsidR="00270FBF" w:rsidRPr="00E92C22" w:rsidRDefault="00270FBF" w:rsidP="00270FBF">
            <w:pPr>
              <w:jc w:val="center"/>
              <w:rPr>
                <w:rFonts w:ascii="Calibri" w:hAnsi="Calibri" w:cs="Calibri"/>
              </w:rPr>
            </w:pPr>
            <w:r w:rsidRPr="00E92C22">
              <w:rPr>
                <w:rFonts w:ascii="Calibri" w:hAnsi="Calibri" w:cs="Calibri"/>
              </w:rPr>
              <w:t>65373</w:t>
            </w:r>
          </w:p>
        </w:tc>
        <w:tc>
          <w:tcPr>
            <w:tcW w:w="7371" w:type="dxa"/>
            <w:tcBorders>
              <w:top w:val="single" w:sz="4" w:space="0" w:color="auto"/>
              <w:left w:val="single" w:sz="4" w:space="0" w:color="auto"/>
              <w:bottom w:val="single" w:sz="4" w:space="0" w:color="auto"/>
              <w:right w:val="single" w:sz="4" w:space="0" w:color="auto"/>
            </w:tcBorders>
            <w:hideMark/>
          </w:tcPr>
          <w:p w14:paraId="2350C4CB" w14:textId="77777777" w:rsidR="00270FBF" w:rsidRPr="00E92C22" w:rsidRDefault="00270FBF" w:rsidP="00270FBF">
            <w:pPr>
              <w:rPr>
                <w:rFonts w:ascii="Calibri" w:hAnsi="Calibri" w:cs="Calibri"/>
              </w:rPr>
            </w:pPr>
            <w:r w:rsidRPr="00E92C22">
              <w:rPr>
                <w:rFonts w:ascii="Calibri" w:hAnsi="Calibri" w:cs="Calibri"/>
              </w:rPr>
              <w:t>Wang JY, Pan J, Luo BY, et al (2011). Temporal coincidence of myasthenia gravis and Guillain Barre syndrome associated with Hashimoto thyroiditis. Neurol Sci, 32(3): 515-7.</w:t>
            </w:r>
          </w:p>
        </w:tc>
      </w:tr>
      <w:tr w:rsidR="00270FBF" w14:paraId="7ADDA64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9602D64" w14:textId="77777777" w:rsidR="00270FBF" w:rsidRPr="00E92C22" w:rsidRDefault="00270FBF" w:rsidP="00270FBF">
            <w:pPr>
              <w:jc w:val="center"/>
              <w:rPr>
                <w:rFonts w:ascii="Calibri" w:hAnsi="Calibri" w:cs="Calibri"/>
              </w:rPr>
            </w:pPr>
            <w:r w:rsidRPr="00E92C22">
              <w:rPr>
                <w:rFonts w:ascii="Calibri" w:hAnsi="Calibri" w:cs="Calibri"/>
              </w:rPr>
              <w:t>99184</w:t>
            </w:r>
          </w:p>
        </w:tc>
        <w:tc>
          <w:tcPr>
            <w:tcW w:w="7371" w:type="dxa"/>
            <w:tcBorders>
              <w:top w:val="single" w:sz="4" w:space="0" w:color="auto"/>
              <w:left w:val="single" w:sz="4" w:space="0" w:color="auto"/>
              <w:bottom w:val="single" w:sz="4" w:space="0" w:color="auto"/>
              <w:right w:val="single" w:sz="4" w:space="0" w:color="auto"/>
            </w:tcBorders>
            <w:hideMark/>
          </w:tcPr>
          <w:p w14:paraId="79BA4B0A" w14:textId="77777777" w:rsidR="00270FBF" w:rsidRPr="00E92C22" w:rsidRDefault="00270FBF" w:rsidP="00270FBF">
            <w:pPr>
              <w:rPr>
                <w:rFonts w:ascii="Calibri" w:hAnsi="Calibri" w:cs="Calibri"/>
              </w:rPr>
            </w:pPr>
            <w:proofErr w:type="spellStart"/>
            <w:r w:rsidRPr="00E92C22">
              <w:rPr>
                <w:rFonts w:ascii="Calibri" w:hAnsi="Calibri" w:cs="Calibri"/>
              </w:rPr>
              <w:t>Wiersinga</w:t>
            </w:r>
            <w:proofErr w:type="spellEnd"/>
            <w:r w:rsidRPr="00E92C22">
              <w:rPr>
                <w:rFonts w:ascii="Calibri" w:hAnsi="Calibri" w:cs="Calibri"/>
              </w:rPr>
              <w:t xml:space="preserve"> WM (2013). Smoking and thyroid. Clin Endocrinol (</w:t>
            </w:r>
            <w:proofErr w:type="spellStart"/>
            <w:r w:rsidRPr="00E92C22">
              <w:rPr>
                <w:rFonts w:ascii="Calibri" w:hAnsi="Calibri" w:cs="Calibri"/>
              </w:rPr>
              <w:t>Oxf</w:t>
            </w:r>
            <w:proofErr w:type="spellEnd"/>
            <w:r w:rsidRPr="00E92C22">
              <w:rPr>
                <w:rFonts w:ascii="Calibri" w:hAnsi="Calibri" w:cs="Calibri"/>
              </w:rPr>
              <w:t>), 79(2): 145-51.</w:t>
            </w:r>
          </w:p>
        </w:tc>
      </w:tr>
      <w:tr w:rsidR="00270FBF" w14:paraId="007DAD0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44013E9" w14:textId="77777777" w:rsidR="00270FBF" w:rsidRPr="00E92C22" w:rsidRDefault="00270FBF" w:rsidP="00270FBF">
            <w:pPr>
              <w:jc w:val="center"/>
              <w:rPr>
                <w:rFonts w:ascii="Calibri" w:hAnsi="Calibri" w:cs="Calibri"/>
              </w:rPr>
            </w:pPr>
            <w:r w:rsidRPr="00E92C22">
              <w:rPr>
                <w:rFonts w:ascii="Calibri" w:hAnsi="Calibri" w:cs="Calibri"/>
              </w:rPr>
              <w:t>99964</w:t>
            </w:r>
          </w:p>
        </w:tc>
        <w:tc>
          <w:tcPr>
            <w:tcW w:w="7371" w:type="dxa"/>
            <w:tcBorders>
              <w:top w:val="single" w:sz="4" w:space="0" w:color="auto"/>
              <w:left w:val="single" w:sz="4" w:space="0" w:color="auto"/>
              <w:bottom w:val="single" w:sz="4" w:space="0" w:color="auto"/>
              <w:right w:val="single" w:sz="4" w:space="0" w:color="auto"/>
            </w:tcBorders>
            <w:hideMark/>
          </w:tcPr>
          <w:p w14:paraId="494894B5" w14:textId="77777777" w:rsidR="00270FBF" w:rsidRPr="00E92C22" w:rsidRDefault="00270FBF" w:rsidP="00270FBF">
            <w:pPr>
              <w:rPr>
                <w:rFonts w:ascii="Calibri" w:hAnsi="Calibri" w:cs="Calibri"/>
              </w:rPr>
            </w:pPr>
            <w:r w:rsidRPr="00E92C22">
              <w:rPr>
                <w:rFonts w:ascii="Calibri" w:hAnsi="Calibri" w:cs="Calibri"/>
              </w:rPr>
              <w:t>Winquist A, Steenland K (2014). Perfluorooctanoic acid exposure and thyroid disease in community and worker cohorts. Epidemiology, 25(2): 255-64.</w:t>
            </w:r>
          </w:p>
        </w:tc>
      </w:tr>
      <w:tr w:rsidR="00270FBF" w14:paraId="20277E4C"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063FE78" w14:textId="77777777" w:rsidR="00270FBF" w:rsidRPr="00E92C22" w:rsidRDefault="00270FBF" w:rsidP="00270FBF">
            <w:pPr>
              <w:jc w:val="center"/>
              <w:rPr>
                <w:rFonts w:ascii="Calibri" w:hAnsi="Calibri" w:cs="Calibri"/>
              </w:rPr>
            </w:pPr>
            <w:r w:rsidRPr="00E92C22">
              <w:rPr>
                <w:rFonts w:ascii="Calibri" w:hAnsi="Calibri" w:cs="Calibri"/>
              </w:rPr>
              <w:t>65933</w:t>
            </w:r>
          </w:p>
        </w:tc>
        <w:tc>
          <w:tcPr>
            <w:tcW w:w="7371" w:type="dxa"/>
            <w:tcBorders>
              <w:top w:val="single" w:sz="4" w:space="0" w:color="auto"/>
              <w:left w:val="single" w:sz="4" w:space="0" w:color="auto"/>
              <w:bottom w:val="single" w:sz="4" w:space="0" w:color="auto"/>
              <w:right w:val="single" w:sz="4" w:space="0" w:color="auto"/>
            </w:tcBorders>
            <w:hideMark/>
          </w:tcPr>
          <w:p w14:paraId="47263762" w14:textId="77777777" w:rsidR="00270FBF" w:rsidRPr="00E92C22" w:rsidRDefault="00270FBF" w:rsidP="00270FBF">
            <w:pPr>
              <w:rPr>
                <w:rFonts w:ascii="Calibri" w:hAnsi="Calibri" w:cs="Calibri"/>
              </w:rPr>
            </w:pPr>
            <w:r w:rsidRPr="00E92C22">
              <w:rPr>
                <w:rFonts w:ascii="Calibri" w:hAnsi="Calibri" w:cs="Calibri"/>
              </w:rPr>
              <w:t>World Health Organization (WHO), United Nations Children's Fund (UNICEF) &amp; International Council for the Control of Iodine Deficiency Disorders (ICCIDD) (2007). Assessment of iodine deficiency disorders and monitoring their elimination. A guide for programme managers, 3rd Edition. WHO Geneva.</w:t>
            </w:r>
          </w:p>
        </w:tc>
      </w:tr>
      <w:tr w:rsidR="00270FBF" w14:paraId="3D1C692E"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624FF54" w14:textId="77777777" w:rsidR="00270FBF" w:rsidRPr="00E92C22" w:rsidRDefault="00270FBF" w:rsidP="00270FBF">
            <w:pPr>
              <w:jc w:val="center"/>
              <w:rPr>
                <w:rFonts w:ascii="Calibri" w:hAnsi="Calibri" w:cs="Calibri"/>
              </w:rPr>
            </w:pPr>
            <w:r w:rsidRPr="00E92C22">
              <w:rPr>
                <w:rFonts w:ascii="Calibri" w:hAnsi="Calibri" w:cs="Calibri"/>
              </w:rPr>
              <w:lastRenderedPageBreak/>
              <w:t>80741</w:t>
            </w:r>
          </w:p>
        </w:tc>
        <w:tc>
          <w:tcPr>
            <w:tcW w:w="7371" w:type="dxa"/>
            <w:tcBorders>
              <w:top w:val="single" w:sz="4" w:space="0" w:color="auto"/>
              <w:left w:val="single" w:sz="4" w:space="0" w:color="auto"/>
              <w:bottom w:val="single" w:sz="4" w:space="0" w:color="auto"/>
              <w:right w:val="single" w:sz="4" w:space="0" w:color="auto"/>
            </w:tcBorders>
            <w:hideMark/>
          </w:tcPr>
          <w:p w14:paraId="74640B8F" w14:textId="77777777" w:rsidR="00270FBF" w:rsidRPr="00E92C22" w:rsidRDefault="00270FBF" w:rsidP="00270FBF">
            <w:pPr>
              <w:rPr>
                <w:rFonts w:ascii="Calibri" w:hAnsi="Calibri" w:cs="Calibri"/>
              </w:rPr>
            </w:pPr>
            <w:r w:rsidRPr="00E92C22">
              <w:rPr>
                <w:rFonts w:ascii="Calibri" w:hAnsi="Calibri" w:cs="Calibri"/>
              </w:rPr>
              <w:t>World Nuclear Association (2016). Plutonium. Retrieved 8 February 2017, from http://www.world-nuclear.org/information-library/nuclear-fuel-cycle/fuel-recycling/plutonium.aspx</w:t>
            </w:r>
          </w:p>
        </w:tc>
      </w:tr>
      <w:tr w:rsidR="00270FBF" w14:paraId="35E70E6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5FBE9D9" w14:textId="77777777" w:rsidR="00270FBF" w:rsidRPr="00E92C22" w:rsidRDefault="00270FBF" w:rsidP="00270FBF">
            <w:pPr>
              <w:jc w:val="center"/>
              <w:rPr>
                <w:rFonts w:ascii="Calibri" w:hAnsi="Calibri" w:cs="Calibri"/>
              </w:rPr>
            </w:pPr>
            <w:r w:rsidRPr="00E92C22">
              <w:rPr>
                <w:rFonts w:ascii="Calibri" w:hAnsi="Calibri" w:cs="Calibri"/>
              </w:rPr>
              <w:t>57671</w:t>
            </w:r>
          </w:p>
        </w:tc>
        <w:tc>
          <w:tcPr>
            <w:tcW w:w="7371" w:type="dxa"/>
            <w:tcBorders>
              <w:top w:val="single" w:sz="4" w:space="0" w:color="auto"/>
              <w:left w:val="single" w:sz="4" w:space="0" w:color="auto"/>
              <w:bottom w:val="single" w:sz="4" w:space="0" w:color="auto"/>
              <w:right w:val="single" w:sz="4" w:space="0" w:color="auto"/>
            </w:tcBorders>
            <w:hideMark/>
          </w:tcPr>
          <w:p w14:paraId="2C46DF08" w14:textId="77777777" w:rsidR="00270FBF" w:rsidRPr="00E92C22" w:rsidRDefault="00270FBF" w:rsidP="00270FBF">
            <w:pPr>
              <w:rPr>
                <w:rFonts w:ascii="Calibri" w:hAnsi="Calibri" w:cs="Calibri"/>
              </w:rPr>
            </w:pPr>
            <w:r w:rsidRPr="00E92C22">
              <w:rPr>
                <w:rFonts w:ascii="Calibri" w:hAnsi="Calibri" w:cs="Calibri"/>
              </w:rPr>
              <w:t xml:space="preserve">Wrixon AD (2008). New ICRP recommendations. J </w:t>
            </w:r>
            <w:proofErr w:type="spellStart"/>
            <w:r w:rsidRPr="00E92C22">
              <w:rPr>
                <w:rFonts w:ascii="Calibri" w:hAnsi="Calibri" w:cs="Calibri"/>
              </w:rPr>
              <w:t>Radiol</w:t>
            </w:r>
            <w:proofErr w:type="spellEnd"/>
            <w:r w:rsidRPr="00E92C22">
              <w:rPr>
                <w:rFonts w:ascii="Calibri" w:hAnsi="Calibri" w:cs="Calibri"/>
              </w:rPr>
              <w:t xml:space="preserve"> Prot, 28(2): 161-8.</w:t>
            </w:r>
          </w:p>
        </w:tc>
      </w:tr>
      <w:tr w:rsidR="00270FBF" w14:paraId="1B0D1EC2"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C202662" w14:textId="77777777" w:rsidR="00270FBF" w:rsidRPr="00E92C22" w:rsidRDefault="00270FBF" w:rsidP="00270FBF">
            <w:pPr>
              <w:jc w:val="center"/>
              <w:rPr>
                <w:rFonts w:ascii="Calibri" w:hAnsi="Calibri" w:cs="Calibri"/>
              </w:rPr>
            </w:pPr>
            <w:r w:rsidRPr="00E92C22">
              <w:rPr>
                <w:rFonts w:ascii="Calibri" w:hAnsi="Calibri" w:cs="Calibri"/>
              </w:rPr>
              <w:t>102821</w:t>
            </w:r>
          </w:p>
        </w:tc>
        <w:tc>
          <w:tcPr>
            <w:tcW w:w="7371" w:type="dxa"/>
            <w:tcBorders>
              <w:top w:val="single" w:sz="4" w:space="0" w:color="auto"/>
              <w:left w:val="single" w:sz="4" w:space="0" w:color="auto"/>
              <w:bottom w:val="single" w:sz="4" w:space="0" w:color="auto"/>
              <w:right w:val="single" w:sz="4" w:space="0" w:color="auto"/>
            </w:tcBorders>
            <w:hideMark/>
          </w:tcPr>
          <w:p w14:paraId="786D7ACE" w14:textId="77777777" w:rsidR="00270FBF" w:rsidRPr="00E92C22" w:rsidRDefault="00270FBF" w:rsidP="00270FBF">
            <w:pPr>
              <w:rPr>
                <w:rFonts w:ascii="Calibri" w:hAnsi="Calibri" w:cs="Calibri"/>
              </w:rPr>
            </w:pPr>
            <w:r w:rsidRPr="00E92C22">
              <w:rPr>
                <w:rFonts w:ascii="Calibri" w:hAnsi="Calibri" w:cs="Calibri"/>
              </w:rPr>
              <w:t xml:space="preserve">Yamaguchi H, </w:t>
            </w:r>
            <w:proofErr w:type="spellStart"/>
            <w:r w:rsidRPr="00E92C22">
              <w:rPr>
                <w:rFonts w:ascii="Calibri" w:hAnsi="Calibri" w:cs="Calibri"/>
              </w:rPr>
              <w:t>Inoshita</w:t>
            </w:r>
            <w:proofErr w:type="spellEnd"/>
            <w:r w:rsidRPr="00E92C22">
              <w:rPr>
                <w:rFonts w:ascii="Calibri" w:hAnsi="Calibri" w:cs="Calibri"/>
              </w:rPr>
              <w:t xml:space="preserve"> M, </w:t>
            </w:r>
            <w:proofErr w:type="spellStart"/>
            <w:r w:rsidRPr="00E92C22">
              <w:rPr>
                <w:rFonts w:ascii="Calibri" w:hAnsi="Calibri" w:cs="Calibri"/>
              </w:rPr>
              <w:t>Shirakami</w:t>
            </w:r>
            <w:proofErr w:type="spellEnd"/>
            <w:r w:rsidRPr="00E92C22">
              <w:rPr>
                <w:rFonts w:ascii="Calibri" w:hAnsi="Calibri" w:cs="Calibri"/>
              </w:rPr>
              <w:t xml:space="preserve"> A, et al (2013). A case of severe hypothyroidism causing cardiac tamponade associated with lithium intoxication. J </w:t>
            </w:r>
            <w:proofErr w:type="spellStart"/>
            <w:r w:rsidRPr="00E92C22">
              <w:rPr>
                <w:rFonts w:ascii="Calibri" w:hAnsi="Calibri" w:cs="Calibri"/>
              </w:rPr>
              <w:t>Cardiol</w:t>
            </w:r>
            <w:proofErr w:type="spellEnd"/>
            <w:r w:rsidRPr="00E92C22">
              <w:rPr>
                <w:rFonts w:ascii="Calibri" w:hAnsi="Calibri" w:cs="Calibri"/>
              </w:rPr>
              <w:t xml:space="preserve"> Cases, 8(1): e42-5.</w:t>
            </w:r>
          </w:p>
        </w:tc>
      </w:tr>
      <w:tr w:rsidR="00270FBF" w14:paraId="5886F93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161BDEF" w14:textId="77777777" w:rsidR="00270FBF" w:rsidRPr="00E92C22" w:rsidRDefault="00270FBF" w:rsidP="00270FBF">
            <w:pPr>
              <w:jc w:val="center"/>
              <w:rPr>
                <w:rFonts w:ascii="Calibri" w:hAnsi="Calibri" w:cs="Calibri"/>
              </w:rPr>
            </w:pPr>
            <w:r w:rsidRPr="00E92C22">
              <w:rPr>
                <w:rFonts w:ascii="Calibri" w:hAnsi="Calibri" w:cs="Calibri"/>
              </w:rPr>
              <w:t>80770</w:t>
            </w:r>
          </w:p>
        </w:tc>
        <w:tc>
          <w:tcPr>
            <w:tcW w:w="7371" w:type="dxa"/>
            <w:tcBorders>
              <w:top w:val="single" w:sz="4" w:space="0" w:color="auto"/>
              <w:left w:val="single" w:sz="4" w:space="0" w:color="auto"/>
              <w:bottom w:val="single" w:sz="4" w:space="0" w:color="auto"/>
              <w:right w:val="single" w:sz="4" w:space="0" w:color="auto"/>
            </w:tcBorders>
            <w:hideMark/>
          </w:tcPr>
          <w:p w14:paraId="7DC06245" w14:textId="77777777" w:rsidR="00270FBF" w:rsidRPr="00E92C22" w:rsidRDefault="00270FBF" w:rsidP="00270FBF">
            <w:pPr>
              <w:rPr>
                <w:rFonts w:ascii="Calibri" w:hAnsi="Calibri" w:cs="Calibri"/>
              </w:rPr>
            </w:pPr>
            <w:r w:rsidRPr="00E92C22">
              <w:rPr>
                <w:rFonts w:ascii="Calibri" w:hAnsi="Calibri" w:cs="Calibri"/>
              </w:rPr>
              <w:t>Yard EE, Terrell ML, Hunt DR, et al (2011). Incidence of thyroid disease following exposure to polybrominated biphenyls and polychlorinated biphenyls, Michigan, 1974-2006. Chemosphere, 84(7): 863-8.</w:t>
            </w:r>
          </w:p>
        </w:tc>
      </w:tr>
      <w:tr w:rsidR="00270FBF" w14:paraId="610C795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D13681B" w14:textId="77777777" w:rsidR="00270FBF" w:rsidRPr="00E92C22" w:rsidRDefault="00270FBF" w:rsidP="00270FBF">
            <w:pPr>
              <w:jc w:val="center"/>
              <w:rPr>
                <w:rFonts w:ascii="Calibri" w:hAnsi="Calibri" w:cs="Calibri"/>
              </w:rPr>
            </w:pPr>
            <w:r w:rsidRPr="00E92C22">
              <w:rPr>
                <w:rFonts w:ascii="Calibri" w:hAnsi="Calibri" w:cs="Calibri"/>
              </w:rPr>
              <w:t>74579</w:t>
            </w:r>
          </w:p>
        </w:tc>
        <w:tc>
          <w:tcPr>
            <w:tcW w:w="7371" w:type="dxa"/>
            <w:tcBorders>
              <w:top w:val="single" w:sz="4" w:space="0" w:color="auto"/>
              <w:left w:val="single" w:sz="4" w:space="0" w:color="auto"/>
              <w:bottom w:val="single" w:sz="4" w:space="0" w:color="auto"/>
              <w:right w:val="single" w:sz="4" w:space="0" w:color="auto"/>
            </w:tcBorders>
            <w:hideMark/>
          </w:tcPr>
          <w:p w14:paraId="7C8DA554" w14:textId="77777777" w:rsidR="00270FBF" w:rsidRPr="00E92C22" w:rsidRDefault="00270FBF" w:rsidP="00270FBF">
            <w:pPr>
              <w:rPr>
                <w:rFonts w:ascii="Calibri" w:hAnsi="Calibri" w:cs="Calibri"/>
              </w:rPr>
            </w:pPr>
            <w:r w:rsidRPr="00E92C22">
              <w:rPr>
                <w:rFonts w:ascii="Calibri" w:hAnsi="Calibri" w:cs="Calibri"/>
              </w:rPr>
              <w:t xml:space="preserve">Yi SW, Hong JS, </w:t>
            </w:r>
            <w:proofErr w:type="spellStart"/>
            <w:r w:rsidRPr="00E92C22">
              <w:rPr>
                <w:rFonts w:ascii="Calibri" w:hAnsi="Calibri" w:cs="Calibri"/>
              </w:rPr>
              <w:t>Ohrr</w:t>
            </w:r>
            <w:proofErr w:type="spellEnd"/>
            <w:r w:rsidRPr="00E92C22">
              <w:rPr>
                <w:rFonts w:ascii="Calibri" w:hAnsi="Calibri" w:cs="Calibri"/>
              </w:rPr>
              <w:t xml:space="preserve"> H, et al (2014). Agent Orange exposure and disease prevalence in Korean Vietnam veterans: the Korean </w:t>
            </w:r>
            <w:proofErr w:type="spellStart"/>
            <w:r w:rsidRPr="00E92C22">
              <w:rPr>
                <w:rFonts w:ascii="Calibri" w:hAnsi="Calibri" w:cs="Calibri"/>
              </w:rPr>
              <w:t>veterans</w:t>
            </w:r>
            <w:proofErr w:type="spellEnd"/>
            <w:r w:rsidRPr="00E92C22">
              <w:rPr>
                <w:rFonts w:ascii="Calibri" w:hAnsi="Calibri" w:cs="Calibri"/>
              </w:rPr>
              <w:t xml:space="preserve"> health study. Environ Res, 133: 56-65.</w:t>
            </w:r>
          </w:p>
        </w:tc>
      </w:tr>
      <w:tr w:rsidR="00270FBF" w14:paraId="7725E52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697886C" w14:textId="77777777" w:rsidR="00270FBF" w:rsidRPr="00E92C22" w:rsidRDefault="00270FBF" w:rsidP="00270FBF">
            <w:pPr>
              <w:jc w:val="center"/>
              <w:rPr>
                <w:rFonts w:ascii="Calibri" w:hAnsi="Calibri" w:cs="Calibri"/>
              </w:rPr>
            </w:pPr>
            <w:r w:rsidRPr="00E92C22">
              <w:rPr>
                <w:rFonts w:ascii="Calibri" w:hAnsi="Calibri" w:cs="Calibri"/>
              </w:rPr>
              <w:t>101726</w:t>
            </w:r>
          </w:p>
        </w:tc>
        <w:tc>
          <w:tcPr>
            <w:tcW w:w="7371" w:type="dxa"/>
            <w:tcBorders>
              <w:top w:val="single" w:sz="4" w:space="0" w:color="auto"/>
              <w:left w:val="single" w:sz="4" w:space="0" w:color="auto"/>
              <w:bottom w:val="single" w:sz="4" w:space="0" w:color="auto"/>
              <w:right w:val="single" w:sz="4" w:space="0" w:color="auto"/>
            </w:tcBorders>
            <w:hideMark/>
          </w:tcPr>
          <w:p w14:paraId="6E596934" w14:textId="77777777" w:rsidR="00270FBF" w:rsidRPr="00E92C22" w:rsidRDefault="00270FBF" w:rsidP="00270FBF">
            <w:pPr>
              <w:rPr>
                <w:rFonts w:ascii="Calibri" w:hAnsi="Calibri" w:cs="Calibri"/>
              </w:rPr>
            </w:pPr>
            <w:r w:rsidRPr="00E92C22">
              <w:rPr>
                <w:rFonts w:ascii="Calibri" w:hAnsi="Calibri" w:cs="Calibri"/>
              </w:rPr>
              <w:t xml:space="preserve">Ylli D, </w:t>
            </w:r>
            <w:proofErr w:type="spellStart"/>
            <w:r w:rsidRPr="00E92C22">
              <w:rPr>
                <w:rFonts w:ascii="Calibri" w:hAnsi="Calibri" w:cs="Calibri"/>
              </w:rPr>
              <w:t>Klubo-Gwiezdzinska</w:t>
            </w:r>
            <w:proofErr w:type="spellEnd"/>
            <w:r w:rsidRPr="00E92C22">
              <w:rPr>
                <w:rFonts w:ascii="Calibri" w:hAnsi="Calibri" w:cs="Calibri"/>
              </w:rPr>
              <w:t xml:space="preserve"> J, </w:t>
            </w:r>
            <w:proofErr w:type="spellStart"/>
            <w:r w:rsidRPr="00E92C22">
              <w:rPr>
                <w:rFonts w:ascii="Calibri" w:hAnsi="Calibri" w:cs="Calibri"/>
              </w:rPr>
              <w:t>Wartofsky</w:t>
            </w:r>
            <w:proofErr w:type="spellEnd"/>
            <w:r w:rsidRPr="00E92C22">
              <w:rPr>
                <w:rFonts w:ascii="Calibri" w:hAnsi="Calibri" w:cs="Calibri"/>
              </w:rPr>
              <w:t xml:space="preserve"> L (2019). Thyroid emergencies. Pol Arch Intern Med, 129(7-8): 526-34.</w:t>
            </w:r>
          </w:p>
        </w:tc>
      </w:tr>
      <w:tr w:rsidR="00270FBF" w14:paraId="5E09383A"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3D4ED5A" w14:textId="77777777" w:rsidR="00270FBF" w:rsidRPr="00E92C22" w:rsidRDefault="00270FBF" w:rsidP="00270FBF">
            <w:pPr>
              <w:jc w:val="center"/>
              <w:rPr>
                <w:rFonts w:ascii="Calibri" w:hAnsi="Calibri" w:cs="Calibri"/>
              </w:rPr>
            </w:pPr>
            <w:r w:rsidRPr="00E92C22">
              <w:rPr>
                <w:rFonts w:ascii="Calibri" w:hAnsi="Calibri" w:cs="Calibri"/>
              </w:rPr>
              <w:t>102822</w:t>
            </w:r>
          </w:p>
        </w:tc>
        <w:tc>
          <w:tcPr>
            <w:tcW w:w="7371" w:type="dxa"/>
            <w:tcBorders>
              <w:top w:val="single" w:sz="4" w:space="0" w:color="auto"/>
              <w:left w:val="single" w:sz="4" w:space="0" w:color="auto"/>
              <w:bottom w:val="single" w:sz="4" w:space="0" w:color="auto"/>
              <w:right w:val="single" w:sz="4" w:space="0" w:color="auto"/>
            </w:tcBorders>
            <w:hideMark/>
          </w:tcPr>
          <w:p w14:paraId="1AA243A1" w14:textId="77777777" w:rsidR="00270FBF" w:rsidRPr="00E92C22" w:rsidRDefault="00270FBF" w:rsidP="00270FBF">
            <w:pPr>
              <w:rPr>
                <w:rFonts w:ascii="Calibri" w:hAnsi="Calibri" w:cs="Calibri"/>
              </w:rPr>
            </w:pPr>
            <w:r w:rsidRPr="00E92C22">
              <w:rPr>
                <w:rFonts w:ascii="Calibri" w:hAnsi="Calibri" w:cs="Calibri"/>
              </w:rPr>
              <w:t xml:space="preserve">Yoo WS, Chung HK (2016). Recent advances in autoimmune thyroid diseases. Endocrinol </w:t>
            </w:r>
            <w:proofErr w:type="spellStart"/>
            <w:r w:rsidRPr="00E92C22">
              <w:rPr>
                <w:rFonts w:ascii="Calibri" w:hAnsi="Calibri" w:cs="Calibri"/>
              </w:rPr>
              <w:t>Metab</w:t>
            </w:r>
            <w:proofErr w:type="spellEnd"/>
            <w:r w:rsidRPr="00E92C22">
              <w:rPr>
                <w:rFonts w:ascii="Calibri" w:hAnsi="Calibri" w:cs="Calibri"/>
              </w:rPr>
              <w:t xml:space="preserve"> (Seoul), 31(3): 379-85.</w:t>
            </w:r>
          </w:p>
        </w:tc>
      </w:tr>
      <w:tr w:rsidR="00270FBF" w14:paraId="1B447E5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2BEE084" w14:textId="77777777" w:rsidR="00270FBF" w:rsidRPr="00E92C22" w:rsidRDefault="00270FBF" w:rsidP="00270FBF">
            <w:pPr>
              <w:jc w:val="center"/>
              <w:rPr>
                <w:rFonts w:ascii="Calibri" w:hAnsi="Calibri" w:cs="Calibri"/>
              </w:rPr>
            </w:pPr>
            <w:r w:rsidRPr="00E92C22">
              <w:rPr>
                <w:rFonts w:ascii="Calibri" w:hAnsi="Calibri" w:cs="Calibri"/>
              </w:rPr>
              <w:t>67014</w:t>
            </w:r>
          </w:p>
        </w:tc>
        <w:tc>
          <w:tcPr>
            <w:tcW w:w="7371" w:type="dxa"/>
            <w:tcBorders>
              <w:top w:val="single" w:sz="4" w:space="0" w:color="auto"/>
              <w:left w:val="single" w:sz="4" w:space="0" w:color="auto"/>
              <w:bottom w:val="single" w:sz="4" w:space="0" w:color="auto"/>
              <w:right w:val="single" w:sz="4" w:space="0" w:color="auto"/>
            </w:tcBorders>
            <w:hideMark/>
          </w:tcPr>
          <w:p w14:paraId="0FB7DA75" w14:textId="77777777" w:rsidR="00270FBF" w:rsidRPr="00E92C22" w:rsidRDefault="00270FBF" w:rsidP="00270FBF">
            <w:pPr>
              <w:rPr>
                <w:rFonts w:ascii="Calibri" w:hAnsi="Calibri" w:cs="Calibri"/>
              </w:rPr>
            </w:pPr>
            <w:r w:rsidRPr="00E92C22">
              <w:rPr>
                <w:rFonts w:ascii="Calibri" w:hAnsi="Calibri" w:cs="Calibri"/>
              </w:rPr>
              <w:t xml:space="preserve">Yoshizawa K, Heatherly A, Malarkey DE, et al (2007). A critical comparison of murine pathology and epidemiological data to TCDD, PCB126, and </w:t>
            </w:r>
            <w:proofErr w:type="spellStart"/>
            <w:r w:rsidRPr="00E92C22">
              <w:rPr>
                <w:rFonts w:ascii="Calibri" w:hAnsi="Calibri" w:cs="Calibri"/>
              </w:rPr>
              <w:t>PeCDF</w:t>
            </w:r>
            <w:proofErr w:type="spellEnd"/>
            <w:r w:rsidRPr="00E92C22">
              <w:rPr>
                <w:rFonts w:ascii="Calibri" w:hAnsi="Calibri" w:cs="Calibri"/>
              </w:rPr>
              <w:t xml:space="preserve">. </w:t>
            </w:r>
            <w:proofErr w:type="spellStart"/>
            <w:r w:rsidRPr="00E92C22">
              <w:rPr>
                <w:rFonts w:ascii="Calibri" w:hAnsi="Calibri" w:cs="Calibri"/>
              </w:rPr>
              <w:t>Toxicol</w:t>
            </w:r>
            <w:proofErr w:type="spellEnd"/>
            <w:r w:rsidRPr="00E92C22">
              <w:rPr>
                <w:rFonts w:ascii="Calibri" w:hAnsi="Calibri" w:cs="Calibri"/>
              </w:rPr>
              <w:t xml:space="preserve"> </w:t>
            </w:r>
            <w:proofErr w:type="spellStart"/>
            <w:r w:rsidRPr="00E92C22">
              <w:rPr>
                <w:rFonts w:ascii="Calibri" w:hAnsi="Calibri" w:cs="Calibri"/>
              </w:rPr>
              <w:t>Pathol</w:t>
            </w:r>
            <w:proofErr w:type="spellEnd"/>
            <w:r w:rsidRPr="00E92C22">
              <w:rPr>
                <w:rFonts w:ascii="Calibri" w:hAnsi="Calibri" w:cs="Calibri"/>
              </w:rPr>
              <w:t>, 35(7): 865-79.</w:t>
            </w:r>
          </w:p>
        </w:tc>
      </w:tr>
      <w:tr w:rsidR="00270FBF" w14:paraId="0D4CC5B5"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DAEABAA" w14:textId="77777777" w:rsidR="00270FBF" w:rsidRPr="00E92C22" w:rsidRDefault="00270FBF" w:rsidP="00270FBF">
            <w:pPr>
              <w:jc w:val="center"/>
              <w:rPr>
                <w:rFonts w:ascii="Calibri" w:hAnsi="Calibri" w:cs="Calibri"/>
              </w:rPr>
            </w:pPr>
            <w:r w:rsidRPr="00E92C22">
              <w:rPr>
                <w:rFonts w:ascii="Calibri" w:hAnsi="Calibri" w:cs="Calibri"/>
              </w:rPr>
              <w:t>101722</w:t>
            </w:r>
          </w:p>
        </w:tc>
        <w:tc>
          <w:tcPr>
            <w:tcW w:w="7371" w:type="dxa"/>
            <w:tcBorders>
              <w:top w:val="single" w:sz="4" w:space="0" w:color="auto"/>
              <w:left w:val="single" w:sz="4" w:space="0" w:color="auto"/>
              <w:bottom w:val="single" w:sz="4" w:space="0" w:color="auto"/>
              <w:right w:val="single" w:sz="4" w:space="0" w:color="auto"/>
            </w:tcBorders>
            <w:hideMark/>
          </w:tcPr>
          <w:p w14:paraId="20FC621D" w14:textId="77777777" w:rsidR="00270FBF" w:rsidRPr="00E92C22" w:rsidRDefault="00270FBF" w:rsidP="00270FBF">
            <w:pPr>
              <w:rPr>
                <w:rFonts w:ascii="Calibri" w:hAnsi="Calibri" w:cs="Calibri"/>
              </w:rPr>
            </w:pPr>
            <w:r w:rsidRPr="006E1170">
              <w:rPr>
                <w:rFonts w:ascii="Calibri" w:hAnsi="Calibri" w:cs="Calibri"/>
                <w:lang w:val="de-DE"/>
              </w:rPr>
              <w:t xml:space="preserve">Zani C, Magoni M, Speziani F, et al (2019). </w:t>
            </w:r>
            <w:r w:rsidRPr="00E92C22">
              <w:rPr>
                <w:rFonts w:ascii="Calibri" w:hAnsi="Calibri" w:cs="Calibri"/>
              </w:rPr>
              <w:t xml:space="preserve">Polychlorinated biphenyl serum levels, thyroid hormones and endocrine and metabolic diseases in people living in a highly polluted area in North Italy: A population-based study. </w:t>
            </w:r>
            <w:proofErr w:type="spellStart"/>
            <w:r w:rsidRPr="00E92C22">
              <w:rPr>
                <w:rFonts w:ascii="Calibri" w:hAnsi="Calibri" w:cs="Calibri"/>
              </w:rPr>
              <w:t>Heliyon</w:t>
            </w:r>
            <w:proofErr w:type="spellEnd"/>
            <w:r w:rsidRPr="00E92C22">
              <w:rPr>
                <w:rFonts w:ascii="Calibri" w:hAnsi="Calibri" w:cs="Calibri"/>
              </w:rPr>
              <w:t>, 5(6): e01870.</w:t>
            </w:r>
          </w:p>
        </w:tc>
      </w:tr>
      <w:tr w:rsidR="00270FBF" w14:paraId="65F0576D"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5497C0E" w14:textId="77777777" w:rsidR="00270FBF" w:rsidRPr="00E92C22" w:rsidRDefault="00270FBF" w:rsidP="00270FBF">
            <w:pPr>
              <w:jc w:val="center"/>
              <w:rPr>
                <w:rFonts w:ascii="Calibri" w:hAnsi="Calibri" w:cs="Calibri"/>
              </w:rPr>
            </w:pPr>
            <w:r w:rsidRPr="00E92C22">
              <w:rPr>
                <w:rFonts w:ascii="Calibri" w:hAnsi="Calibri" w:cs="Calibri"/>
              </w:rPr>
              <w:t>65382</w:t>
            </w:r>
          </w:p>
        </w:tc>
        <w:tc>
          <w:tcPr>
            <w:tcW w:w="7371" w:type="dxa"/>
            <w:tcBorders>
              <w:top w:val="single" w:sz="4" w:space="0" w:color="auto"/>
              <w:left w:val="single" w:sz="4" w:space="0" w:color="auto"/>
              <w:bottom w:val="single" w:sz="4" w:space="0" w:color="auto"/>
              <w:right w:val="single" w:sz="4" w:space="0" w:color="auto"/>
            </w:tcBorders>
            <w:hideMark/>
          </w:tcPr>
          <w:p w14:paraId="7F2913FA" w14:textId="77777777" w:rsidR="00270FBF" w:rsidRPr="00E92C22" w:rsidRDefault="00270FBF" w:rsidP="00270FBF">
            <w:pPr>
              <w:rPr>
                <w:rFonts w:ascii="Calibri" w:hAnsi="Calibri" w:cs="Calibri"/>
              </w:rPr>
            </w:pPr>
            <w:proofErr w:type="spellStart"/>
            <w:r w:rsidRPr="00E92C22">
              <w:rPr>
                <w:rFonts w:ascii="Calibri" w:hAnsi="Calibri" w:cs="Calibri"/>
              </w:rPr>
              <w:t>Zantour</w:t>
            </w:r>
            <w:proofErr w:type="spellEnd"/>
            <w:r w:rsidRPr="00E92C22">
              <w:rPr>
                <w:rFonts w:ascii="Calibri" w:hAnsi="Calibri" w:cs="Calibri"/>
              </w:rPr>
              <w:t xml:space="preserve"> B, </w:t>
            </w:r>
            <w:proofErr w:type="spellStart"/>
            <w:r w:rsidRPr="00E92C22">
              <w:rPr>
                <w:rFonts w:ascii="Calibri" w:hAnsi="Calibri" w:cs="Calibri"/>
              </w:rPr>
              <w:t>Sfar</w:t>
            </w:r>
            <w:proofErr w:type="spellEnd"/>
            <w:r w:rsidRPr="00E92C22">
              <w:rPr>
                <w:rFonts w:ascii="Calibri" w:hAnsi="Calibri" w:cs="Calibri"/>
              </w:rPr>
              <w:t xml:space="preserve"> MH, Alaya W, et al (2011). Hashimoto's thyroiditis and severe hypothyroidism, associated with a single hot nodule. Rev Esp Med </w:t>
            </w:r>
            <w:proofErr w:type="spellStart"/>
            <w:r w:rsidRPr="00E92C22">
              <w:rPr>
                <w:rFonts w:ascii="Calibri" w:hAnsi="Calibri" w:cs="Calibri"/>
              </w:rPr>
              <w:t>Nucl</w:t>
            </w:r>
            <w:proofErr w:type="spellEnd"/>
            <w:r w:rsidRPr="00E92C22">
              <w:rPr>
                <w:rFonts w:ascii="Calibri" w:hAnsi="Calibri" w:cs="Calibri"/>
              </w:rPr>
              <w:t>, 30(5): 317-9.</w:t>
            </w:r>
          </w:p>
        </w:tc>
      </w:tr>
      <w:tr w:rsidR="00270FBF" w14:paraId="305099C4"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056E94E" w14:textId="77777777" w:rsidR="00270FBF" w:rsidRPr="00E92C22" w:rsidRDefault="00270FBF" w:rsidP="00270FBF">
            <w:pPr>
              <w:jc w:val="center"/>
              <w:rPr>
                <w:rFonts w:ascii="Calibri" w:hAnsi="Calibri" w:cs="Calibri"/>
              </w:rPr>
            </w:pPr>
            <w:r w:rsidRPr="00E92C22">
              <w:rPr>
                <w:rFonts w:ascii="Calibri" w:hAnsi="Calibri" w:cs="Calibri"/>
              </w:rPr>
              <w:t>102823</w:t>
            </w:r>
          </w:p>
        </w:tc>
        <w:tc>
          <w:tcPr>
            <w:tcW w:w="7371" w:type="dxa"/>
            <w:tcBorders>
              <w:top w:val="single" w:sz="4" w:space="0" w:color="auto"/>
              <w:left w:val="single" w:sz="4" w:space="0" w:color="auto"/>
              <w:bottom w:val="single" w:sz="4" w:space="0" w:color="auto"/>
              <w:right w:val="single" w:sz="4" w:space="0" w:color="auto"/>
            </w:tcBorders>
            <w:hideMark/>
          </w:tcPr>
          <w:p w14:paraId="31414714" w14:textId="77777777" w:rsidR="00270FBF" w:rsidRPr="00E92C22" w:rsidRDefault="00270FBF" w:rsidP="00270FBF">
            <w:pPr>
              <w:rPr>
                <w:rFonts w:ascii="Calibri" w:hAnsi="Calibri" w:cs="Calibri"/>
              </w:rPr>
            </w:pPr>
            <w:r w:rsidRPr="00E92C22">
              <w:rPr>
                <w:rFonts w:ascii="Calibri" w:hAnsi="Calibri" w:cs="Calibri"/>
              </w:rPr>
              <w:t xml:space="preserve">Zhang Y, Shi L, Zhang Q, et al (2019). The association between cigarette smoking and serum thyroid stimulating hormone, thyroid peroxidase antibodies and thyroglobulin antibodies levels in Chinese residents: A cross-sectional study in 10 cities. </w:t>
            </w:r>
            <w:proofErr w:type="spellStart"/>
            <w:r w:rsidRPr="00E92C22">
              <w:rPr>
                <w:rFonts w:ascii="Calibri" w:hAnsi="Calibri" w:cs="Calibri"/>
              </w:rPr>
              <w:t>PLoS</w:t>
            </w:r>
            <w:proofErr w:type="spellEnd"/>
            <w:r w:rsidRPr="00E92C22">
              <w:rPr>
                <w:rFonts w:ascii="Calibri" w:hAnsi="Calibri" w:cs="Calibri"/>
              </w:rPr>
              <w:t xml:space="preserve"> One, 14(11): e0225435.</w:t>
            </w:r>
          </w:p>
        </w:tc>
      </w:tr>
      <w:tr w:rsidR="00270FBF" w14:paraId="07134C26"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F27C354" w14:textId="77777777" w:rsidR="00270FBF" w:rsidRPr="00E92C22" w:rsidRDefault="00270FBF" w:rsidP="00270FBF">
            <w:pPr>
              <w:jc w:val="center"/>
              <w:rPr>
                <w:rFonts w:ascii="Calibri" w:hAnsi="Calibri" w:cs="Calibri"/>
              </w:rPr>
            </w:pPr>
            <w:r w:rsidRPr="00E92C22">
              <w:rPr>
                <w:rFonts w:ascii="Calibri" w:hAnsi="Calibri" w:cs="Calibri"/>
              </w:rPr>
              <w:t>102824</w:t>
            </w:r>
          </w:p>
        </w:tc>
        <w:tc>
          <w:tcPr>
            <w:tcW w:w="7371" w:type="dxa"/>
            <w:tcBorders>
              <w:top w:val="single" w:sz="4" w:space="0" w:color="auto"/>
              <w:left w:val="single" w:sz="4" w:space="0" w:color="auto"/>
              <w:bottom w:val="single" w:sz="4" w:space="0" w:color="auto"/>
              <w:right w:val="single" w:sz="4" w:space="0" w:color="auto"/>
            </w:tcBorders>
            <w:hideMark/>
          </w:tcPr>
          <w:p w14:paraId="537D4029" w14:textId="77777777" w:rsidR="00270FBF" w:rsidRPr="00E92C22" w:rsidRDefault="00270FBF" w:rsidP="00270FBF">
            <w:pPr>
              <w:rPr>
                <w:rFonts w:ascii="Calibri" w:hAnsi="Calibri" w:cs="Calibri"/>
              </w:rPr>
            </w:pPr>
            <w:r w:rsidRPr="00E92C22">
              <w:rPr>
                <w:rFonts w:ascii="Calibri" w:hAnsi="Calibri" w:cs="Calibri"/>
              </w:rPr>
              <w:t xml:space="preserve">Zhou L, Chen J, Tao CJ, et al (2020). </w:t>
            </w:r>
            <w:proofErr w:type="spellStart"/>
            <w:r w:rsidRPr="00E92C22">
              <w:rPr>
                <w:rFonts w:ascii="Calibri" w:hAnsi="Calibri" w:cs="Calibri"/>
              </w:rPr>
              <w:t>Hematological</w:t>
            </w:r>
            <w:proofErr w:type="spellEnd"/>
            <w:r w:rsidRPr="00E92C22">
              <w:rPr>
                <w:rFonts w:ascii="Calibri" w:hAnsi="Calibri" w:cs="Calibri"/>
              </w:rPr>
              <w:t xml:space="preserve"> indexes can be used to predict the incidence of hypothyroidism in nasopharyngeal carcinoma patients after radiotherapy. Biomed Res Int, 2020: 3860936.</w:t>
            </w:r>
          </w:p>
        </w:tc>
      </w:tr>
      <w:tr w:rsidR="00270FBF" w14:paraId="55E0699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A5D0CD3" w14:textId="77777777" w:rsidR="00270FBF" w:rsidRPr="00E92C22" w:rsidRDefault="00270FBF" w:rsidP="00270FBF">
            <w:pPr>
              <w:jc w:val="center"/>
              <w:rPr>
                <w:rFonts w:ascii="Calibri" w:hAnsi="Calibri" w:cs="Calibri"/>
              </w:rPr>
            </w:pPr>
            <w:r w:rsidRPr="00E92C22">
              <w:rPr>
                <w:rFonts w:ascii="Calibri" w:hAnsi="Calibri" w:cs="Calibri"/>
              </w:rPr>
              <w:t>101721</w:t>
            </w:r>
          </w:p>
        </w:tc>
        <w:tc>
          <w:tcPr>
            <w:tcW w:w="7371" w:type="dxa"/>
            <w:tcBorders>
              <w:top w:val="single" w:sz="4" w:space="0" w:color="auto"/>
              <w:left w:val="single" w:sz="4" w:space="0" w:color="auto"/>
              <w:bottom w:val="single" w:sz="4" w:space="0" w:color="auto"/>
              <w:right w:val="single" w:sz="4" w:space="0" w:color="auto"/>
            </w:tcBorders>
            <w:hideMark/>
          </w:tcPr>
          <w:p w14:paraId="2EC1A4EA" w14:textId="77777777" w:rsidR="00270FBF" w:rsidRPr="00E92C22" w:rsidRDefault="00270FBF" w:rsidP="00270FBF">
            <w:pPr>
              <w:rPr>
                <w:rFonts w:ascii="Calibri" w:hAnsi="Calibri" w:cs="Calibri"/>
              </w:rPr>
            </w:pPr>
            <w:r w:rsidRPr="00E92C22">
              <w:rPr>
                <w:rFonts w:ascii="Calibri" w:hAnsi="Calibri" w:cs="Calibri"/>
              </w:rPr>
              <w:t>Zhou L, Chen J, Tao CJ, et al (2021). Research progress of radiation-induced hypothyroidism in head and neck cancer. J Cancer, 12(2): 451-9.</w:t>
            </w:r>
          </w:p>
        </w:tc>
      </w:tr>
      <w:tr w:rsidR="00270FBF" w14:paraId="76DB4440"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D3EC13C" w14:textId="77777777" w:rsidR="00270FBF" w:rsidRPr="00E92C22" w:rsidRDefault="00270FBF" w:rsidP="00270FBF">
            <w:pPr>
              <w:jc w:val="center"/>
              <w:rPr>
                <w:rFonts w:ascii="Calibri" w:hAnsi="Calibri" w:cs="Calibri"/>
              </w:rPr>
            </w:pPr>
            <w:r w:rsidRPr="00E92C22">
              <w:rPr>
                <w:rFonts w:ascii="Calibri" w:hAnsi="Calibri" w:cs="Calibri"/>
              </w:rPr>
              <w:t>102825</w:t>
            </w:r>
          </w:p>
        </w:tc>
        <w:tc>
          <w:tcPr>
            <w:tcW w:w="7371" w:type="dxa"/>
            <w:tcBorders>
              <w:top w:val="single" w:sz="4" w:space="0" w:color="auto"/>
              <w:left w:val="single" w:sz="4" w:space="0" w:color="auto"/>
              <w:bottom w:val="single" w:sz="4" w:space="0" w:color="auto"/>
              <w:right w:val="single" w:sz="4" w:space="0" w:color="auto"/>
            </w:tcBorders>
            <w:hideMark/>
          </w:tcPr>
          <w:p w14:paraId="0B87E14F" w14:textId="77777777" w:rsidR="00270FBF" w:rsidRPr="00E92C22" w:rsidRDefault="00270FBF" w:rsidP="00270FBF">
            <w:pPr>
              <w:rPr>
                <w:rFonts w:ascii="Calibri" w:hAnsi="Calibri" w:cs="Calibri"/>
              </w:rPr>
            </w:pPr>
            <w:r w:rsidRPr="006E1170">
              <w:rPr>
                <w:rFonts w:ascii="Calibri" w:hAnsi="Calibri" w:cs="Calibri"/>
                <w:lang w:val="de-DE"/>
              </w:rPr>
              <w:t xml:space="preserve">Zimmermann MB, Moretti D, Chaouki N, et al (2003). </w:t>
            </w:r>
            <w:r w:rsidRPr="00E92C22">
              <w:rPr>
                <w:rFonts w:ascii="Calibri" w:hAnsi="Calibri" w:cs="Calibri"/>
              </w:rPr>
              <w:t>Introduction of iodized salt to severely iodine-deficient children does not provoke thyroid autoimmunity: a one-year prospective trial in northern Morocco. Thyroid, 13(2): 199-203.</w:t>
            </w:r>
          </w:p>
        </w:tc>
      </w:tr>
      <w:tr w:rsidR="00270FBF" w14:paraId="3D8A6F71" w14:textId="77777777" w:rsidTr="005A299D">
        <w:trPr>
          <w:cantSplit/>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54D64010" w14:textId="77777777" w:rsidR="00270FBF" w:rsidRPr="00E92C22" w:rsidRDefault="00270FBF" w:rsidP="00270FBF">
            <w:pPr>
              <w:jc w:val="center"/>
              <w:rPr>
                <w:rFonts w:ascii="Calibri" w:hAnsi="Calibri" w:cs="Calibri"/>
              </w:rPr>
            </w:pPr>
            <w:r w:rsidRPr="00E92C22">
              <w:rPr>
                <w:rFonts w:ascii="Calibri" w:hAnsi="Calibri" w:cs="Calibri"/>
              </w:rPr>
              <w:t>67076</w:t>
            </w:r>
          </w:p>
        </w:tc>
        <w:tc>
          <w:tcPr>
            <w:tcW w:w="7371" w:type="dxa"/>
            <w:tcBorders>
              <w:top w:val="single" w:sz="4" w:space="0" w:color="auto"/>
              <w:left w:val="single" w:sz="4" w:space="0" w:color="auto"/>
              <w:bottom w:val="single" w:sz="4" w:space="0" w:color="auto"/>
              <w:right w:val="single" w:sz="4" w:space="0" w:color="auto"/>
            </w:tcBorders>
            <w:hideMark/>
          </w:tcPr>
          <w:p w14:paraId="3A64868C" w14:textId="77777777" w:rsidR="00270FBF" w:rsidRPr="00E92C22" w:rsidRDefault="00270FBF" w:rsidP="00270FBF">
            <w:pPr>
              <w:rPr>
                <w:rFonts w:ascii="Calibri" w:hAnsi="Calibri" w:cs="Calibri"/>
              </w:rPr>
            </w:pPr>
            <w:r w:rsidRPr="00E92C22">
              <w:rPr>
                <w:rFonts w:ascii="Calibri" w:hAnsi="Calibri" w:cs="Calibri"/>
              </w:rPr>
              <w:t>Zoeller TR (2010). Environmental chemicals targeting thyroid. Hormones (Athens), 9(1): 28-40.</w:t>
            </w:r>
          </w:p>
        </w:tc>
      </w:tr>
    </w:tbl>
    <w:p w14:paraId="460ECBA7" w14:textId="77777777" w:rsidR="00C87279" w:rsidRPr="00F54093" w:rsidRDefault="00C87279" w:rsidP="00C87279">
      <w:pPr>
        <w:jc w:val="both"/>
        <w:rPr>
          <w:rFonts w:ascii="Calibri" w:hAnsi="Calibri" w:cs="Calibri"/>
        </w:rPr>
      </w:pPr>
    </w:p>
    <w:p w14:paraId="460ECBA8" w14:textId="77777777" w:rsidR="00C87279" w:rsidRPr="00F54093" w:rsidRDefault="00C87279" w:rsidP="00C87279">
      <w:pPr>
        <w:jc w:val="both"/>
        <w:rPr>
          <w:rFonts w:ascii="Calibri" w:hAnsi="Calibri" w:cs="Calibri"/>
        </w:rPr>
      </w:pPr>
    </w:p>
    <w:p w14:paraId="460ECBA9" w14:textId="77777777" w:rsidR="00C87279" w:rsidRPr="00F54093" w:rsidRDefault="00C87279" w:rsidP="00C87279">
      <w:pPr>
        <w:jc w:val="both"/>
        <w:rPr>
          <w:rFonts w:ascii="Calibri" w:hAnsi="Calibri" w:cs="Calibri"/>
          <w:b/>
          <w:bCs/>
          <w:sz w:val="24"/>
        </w:rPr>
      </w:pPr>
    </w:p>
    <w:p w14:paraId="460ECC06" w14:textId="77777777" w:rsidR="001A3BEC" w:rsidRPr="00F54093" w:rsidRDefault="001A3BEC" w:rsidP="00FE374D">
      <w:pPr>
        <w:pStyle w:val="Heading1"/>
      </w:pPr>
      <w:r w:rsidRPr="00F54093">
        <w:br w:type="page"/>
      </w:r>
      <w:bookmarkEnd w:id="2"/>
      <w:bookmarkEnd w:id="3"/>
    </w:p>
    <w:p w14:paraId="460ECC07" w14:textId="77777777" w:rsidR="001A3BEC" w:rsidRPr="00F54093" w:rsidRDefault="00C87279" w:rsidP="00FE374D">
      <w:pPr>
        <w:pStyle w:val="Heading2"/>
      </w:pPr>
      <w:bookmarkStart w:id="47" w:name="_Toc415563757"/>
      <w:bookmarkStart w:id="48" w:name="_Toc193702360"/>
      <w:r w:rsidRPr="00F54093">
        <w:lastRenderedPageBreak/>
        <w:t>APPENDIX B</w:t>
      </w:r>
      <w:r w:rsidR="001A3BEC" w:rsidRPr="00F54093">
        <w:t>:  THE CONSTITUTED COUNCIL AND LEGISLATIVE FRAMEWORK OF THE REVIEW</w:t>
      </w:r>
      <w:bookmarkEnd w:id="47"/>
      <w:bookmarkEnd w:id="48"/>
    </w:p>
    <w:p w14:paraId="48FD1FC4" w14:textId="77777777" w:rsidR="00482CF4" w:rsidRDefault="00482CF4" w:rsidP="00482CF4">
      <w:pPr>
        <w:rPr>
          <w:rStyle w:val="Emphasis"/>
          <w:b/>
          <w:bCs/>
          <w:iCs w:val="0"/>
          <w:sz w:val="20"/>
          <w:szCs w:val="20"/>
        </w:rPr>
      </w:pPr>
    </w:p>
    <w:p w14:paraId="460ECC08" w14:textId="37D6DD86" w:rsidR="001A3BEC" w:rsidRPr="00E1318C" w:rsidRDefault="001A3BEC" w:rsidP="00E1318C">
      <w:pPr>
        <w:rPr>
          <w:rStyle w:val="Emphasis"/>
          <w:iCs w:val="0"/>
          <w:sz w:val="20"/>
          <w:szCs w:val="20"/>
        </w:rPr>
      </w:pPr>
      <w:r w:rsidRPr="00E1318C">
        <w:rPr>
          <w:rStyle w:val="Emphasis"/>
          <w:iCs w:val="0"/>
          <w:sz w:val="20"/>
          <w:szCs w:val="20"/>
        </w:rPr>
        <w:t>The Specialist Medical Review Council</w:t>
      </w:r>
    </w:p>
    <w:p w14:paraId="460ECC09" w14:textId="77777777" w:rsidR="001A3BEC" w:rsidRPr="00F54093" w:rsidRDefault="001A3BEC" w:rsidP="00116DCE">
      <w:pPr>
        <w:pStyle w:val="NumberLevel1"/>
        <w:numPr>
          <w:ilvl w:val="0"/>
          <w:numId w:val="21"/>
        </w:numPr>
        <w:rPr>
          <w:rFonts w:ascii="Calibri" w:hAnsi="Calibri" w:cs="Calibri"/>
          <w:sz w:val="24"/>
          <w:szCs w:val="24"/>
        </w:rPr>
      </w:pPr>
      <w:r w:rsidRPr="00F54093">
        <w:rPr>
          <w:rFonts w:ascii="Calibri" w:hAnsi="Calibri" w:cs="Calibri"/>
          <w:sz w:val="24"/>
          <w:szCs w:val="24"/>
        </w:rPr>
        <w:t xml:space="preserve">The composition of each Review Council changes from review to review depending on the issues relevant to the </w:t>
      </w:r>
      <w:proofErr w:type="gramStart"/>
      <w:r w:rsidRPr="00F54093">
        <w:rPr>
          <w:rFonts w:ascii="Calibri" w:hAnsi="Calibri" w:cs="Calibri"/>
          <w:sz w:val="24"/>
          <w:szCs w:val="24"/>
        </w:rPr>
        <w:t>particular Statement/s</w:t>
      </w:r>
      <w:proofErr w:type="gramEnd"/>
      <w:r w:rsidRPr="00F54093">
        <w:rPr>
          <w:rFonts w:ascii="Calibri" w:hAnsi="Calibri" w:cs="Calibri"/>
          <w:sz w:val="24"/>
          <w:szCs w:val="24"/>
        </w:rPr>
        <w:t xml:space="preserve"> of Principles under review. When a review is undertaken three to five Councillors selected by the Convener constitute the Council. </w:t>
      </w:r>
    </w:p>
    <w:p w14:paraId="460ECC0A" w14:textId="77777777" w:rsidR="001A3BEC" w:rsidRPr="00F54093" w:rsidRDefault="001A3BEC" w:rsidP="00116DCE">
      <w:pPr>
        <w:pStyle w:val="NumberLevel1"/>
        <w:numPr>
          <w:ilvl w:val="0"/>
          <w:numId w:val="21"/>
        </w:numPr>
        <w:rPr>
          <w:rFonts w:ascii="Calibri" w:hAnsi="Calibri" w:cs="Calibri"/>
          <w:sz w:val="24"/>
          <w:szCs w:val="24"/>
        </w:rPr>
      </w:pPr>
      <w:r w:rsidRPr="00F54093">
        <w:rPr>
          <w:rFonts w:ascii="Calibri" w:hAnsi="Calibri" w:cs="Calibri"/>
          <w:sz w:val="24"/>
          <w:szCs w:val="24"/>
        </w:rPr>
        <w:t>The Minister must appoint one of the Councillors to be the Convener. If the Council does not include the Convener, the Convener must appoint one of the Councillors selected for the review to preside at all meetings as Presiding Councillor.</w:t>
      </w:r>
    </w:p>
    <w:p w14:paraId="23295B54" w14:textId="77777777" w:rsidR="00A375B6" w:rsidRDefault="00A375B6" w:rsidP="00116DCE">
      <w:pPr>
        <w:pStyle w:val="NumberLevel1"/>
        <w:numPr>
          <w:ilvl w:val="0"/>
          <w:numId w:val="21"/>
        </w:numPr>
        <w:rPr>
          <w:rFonts w:ascii="Calibri" w:hAnsi="Calibri" w:cs="Calibri"/>
          <w:sz w:val="24"/>
          <w:szCs w:val="24"/>
        </w:rPr>
      </w:pPr>
      <w:r w:rsidRPr="00A375B6">
        <w:rPr>
          <w:rFonts w:ascii="Calibri" w:hAnsi="Calibri" w:cs="Calibri"/>
          <w:sz w:val="24"/>
          <w:szCs w:val="24"/>
        </w:rPr>
        <w:t xml:space="preserve">The Presiding Councillor (and Convener) for this review was:  </w:t>
      </w:r>
    </w:p>
    <w:p w14:paraId="4D3BB7F0" w14:textId="00FF3A6C" w:rsidR="004E7A88" w:rsidRPr="00270746" w:rsidRDefault="004E7A88" w:rsidP="00A375B6">
      <w:pPr>
        <w:pStyle w:val="NumberLevel1"/>
        <w:ind w:left="720"/>
        <w:rPr>
          <w:rFonts w:ascii="Calibri" w:hAnsi="Calibri" w:cs="Calibri"/>
          <w:sz w:val="24"/>
          <w:szCs w:val="24"/>
        </w:rPr>
      </w:pPr>
      <w:r w:rsidRPr="00A375B6">
        <w:rPr>
          <w:rFonts w:ascii="Calibri" w:hAnsi="Calibri" w:cs="Calibri"/>
          <w:b/>
          <w:bCs/>
          <w:sz w:val="24"/>
          <w:szCs w:val="24"/>
        </w:rPr>
        <w:t>Professor Christian Gericke</w:t>
      </w:r>
      <w:r w:rsidR="00B45795">
        <w:rPr>
          <w:rFonts w:ascii="Calibri" w:hAnsi="Calibri" w:cs="Calibri"/>
          <w:b/>
          <w:bCs/>
          <w:sz w:val="24"/>
          <w:szCs w:val="24"/>
        </w:rPr>
        <w:t>,</w:t>
      </w:r>
      <w:r w:rsidRPr="00482D6C">
        <w:rPr>
          <w:rFonts w:ascii="Calibri" w:hAnsi="Calibri" w:cs="Calibri"/>
          <w:sz w:val="24"/>
          <w:szCs w:val="24"/>
        </w:rPr>
        <w:t xml:space="preserve"> MD</w:t>
      </w:r>
      <w:r w:rsidR="00B45795">
        <w:rPr>
          <w:rFonts w:ascii="Calibri" w:hAnsi="Calibri" w:cs="Calibri"/>
          <w:sz w:val="24"/>
          <w:szCs w:val="24"/>
        </w:rPr>
        <w:t>,</w:t>
      </w:r>
      <w:r w:rsidRPr="00482D6C">
        <w:rPr>
          <w:rFonts w:ascii="Calibri" w:hAnsi="Calibri" w:cs="Calibri"/>
          <w:sz w:val="24"/>
          <w:szCs w:val="24"/>
        </w:rPr>
        <w:t xml:space="preserve"> PhD, MPH, MSc, MBA, FRACP, FAFPHM</w:t>
      </w:r>
      <w:r w:rsidR="00270746">
        <w:rPr>
          <w:rFonts w:ascii="Calibri" w:hAnsi="Calibri" w:cs="Calibri"/>
          <w:sz w:val="24"/>
          <w:szCs w:val="24"/>
        </w:rPr>
        <w:t>. Professor Gericke’s</w:t>
      </w:r>
      <w:r w:rsidR="00B45795">
        <w:rPr>
          <w:rFonts w:ascii="Calibri" w:hAnsi="Calibri" w:cs="Calibri"/>
          <w:sz w:val="24"/>
          <w:szCs w:val="24"/>
        </w:rPr>
        <w:t xml:space="preserve"> </w:t>
      </w:r>
      <w:r w:rsidR="00270746">
        <w:rPr>
          <w:rFonts w:ascii="Calibri" w:hAnsi="Calibri" w:cs="Calibri"/>
          <w:sz w:val="24"/>
          <w:szCs w:val="24"/>
        </w:rPr>
        <w:t>e</w:t>
      </w:r>
      <w:r w:rsidR="00482D6C" w:rsidRPr="00270746">
        <w:rPr>
          <w:rFonts w:ascii="Calibri" w:hAnsi="Calibri" w:cs="Calibri"/>
          <w:sz w:val="24"/>
          <w:szCs w:val="24"/>
        </w:rPr>
        <w:t>xpertise</w:t>
      </w:r>
      <w:r w:rsidR="00270746">
        <w:rPr>
          <w:rFonts w:ascii="Calibri" w:hAnsi="Calibri" w:cs="Calibri"/>
          <w:sz w:val="24"/>
          <w:szCs w:val="24"/>
        </w:rPr>
        <w:t xml:space="preserve"> include</w:t>
      </w:r>
      <w:r w:rsidR="00E946E4">
        <w:rPr>
          <w:rFonts w:ascii="Calibri" w:hAnsi="Calibri" w:cs="Calibri"/>
          <w:sz w:val="24"/>
          <w:szCs w:val="24"/>
        </w:rPr>
        <w:t>s</w:t>
      </w:r>
      <w:r w:rsidR="00482D6C" w:rsidRPr="00270746">
        <w:rPr>
          <w:rFonts w:ascii="Calibri" w:hAnsi="Calibri" w:cs="Calibri"/>
          <w:sz w:val="24"/>
          <w:szCs w:val="24"/>
        </w:rPr>
        <w:t xml:space="preserve"> </w:t>
      </w:r>
      <w:r w:rsidR="00A375B6">
        <w:rPr>
          <w:rFonts w:ascii="Calibri" w:hAnsi="Calibri" w:cs="Calibri"/>
          <w:sz w:val="24"/>
          <w:szCs w:val="24"/>
        </w:rPr>
        <w:t>n</w:t>
      </w:r>
      <w:r w:rsidR="00482D6C" w:rsidRPr="00270746">
        <w:rPr>
          <w:rFonts w:ascii="Calibri" w:hAnsi="Calibri" w:cs="Calibri"/>
          <w:sz w:val="24"/>
          <w:szCs w:val="24"/>
        </w:rPr>
        <w:t xml:space="preserve">eurology, </w:t>
      </w:r>
      <w:r w:rsidR="00A375B6">
        <w:rPr>
          <w:rFonts w:ascii="Calibri" w:hAnsi="Calibri" w:cs="Calibri"/>
          <w:sz w:val="24"/>
          <w:szCs w:val="24"/>
        </w:rPr>
        <w:t>p</w:t>
      </w:r>
      <w:r w:rsidR="00482D6C" w:rsidRPr="00270746">
        <w:rPr>
          <w:rFonts w:ascii="Calibri" w:hAnsi="Calibri" w:cs="Calibri"/>
          <w:sz w:val="24"/>
          <w:szCs w:val="24"/>
        </w:rPr>
        <w:t xml:space="preserve">ublic </w:t>
      </w:r>
      <w:r w:rsidR="00A375B6">
        <w:rPr>
          <w:rFonts w:ascii="Calibri" w:hAnsi="Calibri" w:cs="Calibri"/>
          <w:sz w:val="24"/>
          <w:szCs w:val="24"/>
        </w:rPr>
        <w:t>h</w:t>
      </w:r>
      <w:r w:rsidR="00482D6C" w:rsidRPr="00270746">
        <w:rPr>
          <w:rFonts w:ascii="Calibri" w:hAnsi="Calibri" w:cs="Calibri"/>
          <w:sz w:val="24"/>
          <w:szCs w:val="24"/>
        </w:rPr>
        <w:t xml:space="preserve">ealth </w:t>
      </w:r>
      <w:r w:rsidR="00A375B6">
        <w:rPr>
          <w:rFonts w:ascii="Calibri" w:hAnsi="Calibri" w:cs="Calibri"/>
          <w:sz w:val="24"/>
          <w:szCs w:val="24"/>
        </w:rPr>
        <w:t>m</w:t>
      </w:r>
      <w:r w:rsidR="00482D6C" w:rsidRPr="00270746">
        <w:rPr>
          <w:rFonts w:ascii="Calibri" w:hAnsi="Calibri" w:cs="Calibri"/>
          <w:sz w:val="24"/>
          <w:szCs w:val="24"/>
        </w:rPr>
        <w:t>edicine</w:t>
      </w:r>
      <w:r w:rsidR="00B45795">
        <w:rPr>
          <w:rFonts w:ascii="Calibri" w:hAnsi="Calibri" w:cs="Calibri"/>
          <w:sz w:val="24"/>
          <w:szCs w:val="24"/>
        </w:rPr>
        <w:t xml:space="preserve"> </w:t>
      </w:r>
      <w:r w:rsidR="00415B09">
        <w:rPr>
          <w:rFonts w:ascii="Calibri" w:hAnsi="Calibri" w:cs="Calibri"/>
          <w:sz w:val="24"/>
          <w:szCs w:val="24"/>
        </w:rPr>
        <w:t xml:space="preserve">and </w:t>
      </w:r>
      <w:r w:rsidR="00A375B6">
        <w:rPr>
          <w:rFonts w:ascii="Calibri" w:hAnsi="Calibri" w:cs="Calibri"/>
          <w:sz w:val="24"/>
          <w:szCs w:val="24"/>
        </w:rPr>
        <w:t>m</w:t>
      </w:r>
      <w:r w:rsidR="00482D6C" w:rsidRPr="00270746">
        <w:rPr>
          <w:rFonts w:ascii="Calibri" w:hAnsi="Calibri" w:cs="Calibri"/>
          <w:sz w:val="24"/>
          <w:szCs w:val="24"/>
        </w:rPr>
        <w:t xml:space="preserve">edical </w:t>
      </w:r>
      <w:r w:rsidR="00333217">
        <w:rPr>
          <w:rFonts w:ascii="Calibri" w:hAnsi="Calibri" w:cs="Calibri"/>
          <w:sz w:val="24"/>
          <w:szCs w:val="24"/>
        </w:rPr>
        <w:t>law</w:t>
      </w:r>
      <w:r w:rsidR="00270746">
        <w:rPr>
          <w:rFonts w:ascii="Calibri" w:hAnsi="Calibri" w:cs="Calibri"/>
          <w:sz w:val="24"/>
          <w:szCs w:val="24"/>
        </w:rPr>
        <w:t xml:space="preserve">. </w:t>
      </w:r>
    </w:p>
    <w:p w14:paraId="460ECC0C" w14:textId="5E4D0002" w:rsidR="001A3BEC" w:rsidRPr="004E7A88" w:rsidRDefault="001A3BEC" w:rsidP="00116DCE">
      <w:pPr>
        <w:pStyle w:val="NumberLevel1"/>
        <w:numPr>
          <w:ilvl w:val="0"/>
          <w:numId w:val="21"/>
        </w:numPr>
        <w:rPr>
          <w:rFonts w:ascii="Calibri" w:hAnsi="Calibri" w:cs="Calibri"/>
          <w:sz w:val="24"/>
          <w:szCs w:val="24"/>
        </w:rPr>
      </w:pPr>
      <w:r w:rsidRPr="004E7A88">
        <w:rPr>
          <w:rFonts w:ascii="Calibri" w:hAnsi="Calibri" w:cs="Calibri"/>
          <w:sz w:val="24"/>
          <w:szCs w:val="24"/>
        </w:rPr>
        <w:t>The other members of the Council were:</w:t>
      </w:r>
    </w:p>
    <w:p w14:paraId="42E0524B" w14:textId="37779DAD" w:rsidR="00E4466A" w:rsidRPr="004469C6" w:rsidRDefault="00E4466A" w:rsidP="004469C6">
      <w:pPr>
        <w:pStyle w:val="NumberLevel1"/>
        <w:ind w:left="720"/>
        <w:rPr>
          <w:rFonts w:ascii="Calibri" w:hAnsi="Calibri" w:cs="Calibri"/>
          <w:sz w:val="24"/>
          <w:szCs w:val="24"/>
        </w:rPr>
      </w:pPr>
      <w:bookmarkStart w:id="49" w:name="_Toc373244641"/>
      <w:r w:rsidRPr="00300CBB">
        <w:rPr>
          <w:rFonts w:ascii="Calibri" w:hAnsi="Calibri" w:cs="Calibri"/>
          <w:b/>
          <w:bCs/>
          <w:sz w:val="24"/>
          <w:szCs w:val="24"/>
        </w:rPr>
        <w:t>Professor Kimberly Alexander</w:t>
      </w:r>
      <w:r w:rsidR="00B45795">
        <w:rPr>
          <w:rFonts w:ascii="Calibri" w:hAnsi="Calibri" w:cs="Calibri"/>
          <w:b/>
          <w:bCs/>
          <w:sz w:val="24"/>
          <w:szCs w:val="24"/>
        </w:rPr>
        <w:t>,</w:t>
      </w:r>
      <w:r w:rsidRPr="006E5743">
        <w:rPr>
          <w:rFonts w:ascii="Calibri" w:hAnsi="Calibri" w:cs="Calibri"/>
          <w:sz w:val="24"/>
          <w:szCs w:val="24"/>
        </w:rPr>
        <w:t xml:space="preserve"> PhD</w:t>
      </w:r>
      <w:r w:rsidR="00B45795">
        <w:rPr>
          <w:rFonts w:ascii="Calibri" w:hAnsi="Calibri" w:cs="Calibri"/>
          <w:sz w:val="24"/>
          <w:szCs w:val="24"/>
        </w:rPr>
        <w:t>,</w:t>
      </w:r>
      <w:r w:rsidRPr="006E5743">
        <w:rPr>
          <w:rFonts w:ascii="Calibri" w:hAnsi="Calibri" w:cs="Calibri"/>
          <w:sz w:val="24"/>
          <w:szCs w:val="24"/>
        </w:rPr>
        <w:t xml:space="preserve"> </w:t>
      </w:r>
      <w:proofErr w:type="spellStart"/>
      <w:r w:rsidRPr="006E5743">
        <w:rPr>
          <w:rFonts w:ascii="Calibri" w:hAnsi="Calibri" w:cs="Calibri"/>
          <w:sz w:val="24"/>
          <w:szCs w:val="24"/>
        </w:rPr>
        <w:t>M</w:t>
      </w:r>
      <w:r w:rsidR="00197CF2">
        <w:rPr>
          <w:rFonts w:ascii="Calibri" w:hAnsi="Calibri" w:cs="Calibri"/>
          <w:sz w:val="24"/>
          <w:szCs w:val="24"/>
        </w:rPr>
        <w:t>E</w:t>
      </w:r>
      <w:r w:rsidRPr="006E5743">
        <w:rPr>
          <w:rFonts w:ascii="Calibri" w:hAnsi="Calibri" w:cs="Calibri"/>
          <w:sz w:val="24"/>
          <w:szCs w:val="24"/>
        </w:rPr>
        <w:t>d</w:t>
      </w:r>
      <w:r w:rsidR="008E224C">
        <w:rPr>
          <w:rFonts w:ascii="Calibri" w:hAnsi="Calibri" w:cs="Calibri"/>
          <w:sz w:val="24"/>
          <w:szCs w:val="24"/>
        </w:rPr>
        <w:t>u</w:t>
      </w:r>
      <w:proofErr w:type="spellEnd"/>
      <w:r w:rsidR="00B45795">
        <w:rPr>
          <w:rFonts w:ascii="Calibri" w:hAnsi="Calibri" w:cs="Calibri"/>
          <w:sz w:val="24"/>
          <w:szCs w:val="24"/>
        </w:rPr>
        <w:t>,</w:t>
      </w:r>
      <w:r w:rsidRPr="006E5743">
        <w:rPr>
          <w:rFonts w:ascii="Calibri" w:hAnsi="Calibri" w:cs="Calibri"/>
          <w:sz w:val="24"/>
          <w:szCs w:val="24"/>
        </w:rPr>
        <w:t xml:space="preserve"> </w:t>
      </w:r>
      <w:proofErr w:type="spellStart"/>
      <w:r w:rsidRPr="006E5743">
        <w:rPr>
          <w:rFonts w:ascii="Calibri" w:hAnsi="Calibri" w:cs="Calibri"/>
          <w:sz w:val="24"/>
          <w:szCs w:val="24"/>
        </w:rPr>
        <w:t>BHlthSc</w:t>
      </w:r>
      <w:proofErr w:type="spellEnd"/>
      <w:r w:rsidR="00B45795">
        <w:rPr>
          <w:rFonts w:ascii="Calibri" w:hAnsi="Calibri" w:cs="Calibri"/>
          <w:sz w:val="24"/>
          <w:szCs w:val="24"/>
        </w:rPr>
        <w:t>,</w:t>
      </w:r>
      <w:r w:rsidRPr="006E5743">
        <w:rPr>
          <w:rFonts w:ascii="Calibri" w:hAnsi="Calibri" w:cs="Calibri"/>
          <w:sz w:val="24"/>
          <w:szCs w:val="24"/>
        </w:rPr>
        <w:t xml:space="preserve"> </w:t>
      </w:r>
      <w:proofErr w:type="spellStart"/>
      <w:r w:rsidRPr="006E5743">
        <w:rPr>
          <w:rFonts w:ascii="Calibri" w:hAnsi="Calibri" w:cs="Calibri"/>
          <w:sz w:val="24"/>
          <w:szCs w:val="24"/>
        </w:rPr>
        <w:t>BNurs</w:t>
      </w:r>
      <w:proofErr w:type="spellEnd"/>
      <w:r w:rsidR="00B45795">
        <w:rPr>
          <w:rFonts w:ascii="Calibri" w:hAnsi="Calibri" w:cs="Calibri"/>
          <w:sz w:val="24"/>
          <w:szCs w:val="24"/>
        </w:rPr>
        <w:t>,</w:t>
      </w:r>
      <w:r w:rsidRPr="006E5743">
        <w:rPr>
          <w:rFonts w:ascii="Calibri" w:hAnsi="Calibri" w:cs="Calibri"/>
          <w:sz w:val="24"/>
          <w:szCs w:val="24"/>
        </w:rPr>
        <w:t xml:space="preserve"> </w:t>
      </w:r>
      <w:proofErr w:type="spellStart"/>
      <w:r w:rsidRPr="006E5743">
        <w:rPr>
          <w:rFonts w:ascii="Calibri" w:hAnsi="Calibri" w:cs="Calibri"/>
          <w:sz w:val="24"/>
          <w:szCs w:val="24"/>
        </w:rPr>
        <w:t>GradCertBus</w:t>
      </w:r>
      <w:proofErr w:type="spellEnd"/>
      <w:r w:rsidR="00B45795">
        <w:rPr>
          <w:rFonts w:ascii="Calibri" w:hAnsi="Calibri" w:cs="Calibri"/>
          <w:sz w:val="24"/>
          <w:szCs w:val="24"/>
        </w:rPr>
        <w:t>,</w:t>
      </w:r>
      <w:r w:rsidRPr="006E5743">
        <w:rPr>
          <w:rFonts w:ascii="Calibri" w:hAnsi="Calibri" w:cs="Calibri"/>
          <w:sz w:val="24"/>
          <w:szCs w:val="24"/>
        </w:rPr>
        <w:t xml:space="preserve"> RN</w:t>
      </w:r>
      <w:r w:rsidR="007A3055">
        <w:rPr>
          <w:rFonts w:ascii="Calibri" w:hAnsi="Calibri" w:cs="Calibri"/>
          <w:sz w:val="24"/>
          <w:szCs w:val="24"/>
        </w:rPr>
        <w:t xml:space="preserve">. </w:t>
      </w:r>
      <w:r w:rsidR="004469C6">
        <w:rPr>
          <w:rFonts w:ascii="Calibri" w:hAnsi="Calibri" w:cs="Calibri"/>
          <w:sz w:val="24"/>
          <w:szCs w:val="24"/>
        </w:rPr>
        <w:t xml:space="preserve">Professor Alexander’s expertise includes </w:t>
      </w:r>
      <w:r w:rsidR="00DE5D64">
        <w:rPr>
          <w:rFonts w:ascii="Calibri" w:hAnsi="Calibri" w:cs="Calibri"/>
          <w:sz w:val="24"/>
          <w:szCs w:val="24"/>
        </w:rPr>
        <w:t>symptom management</w:t>
      </w:r>
      <w:r w:rsidR="004469C6" w:rsidRPr="006E5743">
        <w:rPr>
          <w:rFonts w:ascii="Calibri" w:hAnsi="Calibri" w:cs="Calibri"/>
          <w:sz w:val="24"/>
          <w:szCs w:val="24"/>
        </w:rPr>
        <w:t xml:space="preserve"> and </w:t>
      </w:r>
      <w:r w:rsidR="00300CBB">
        <w:rPr>
          <w:rFonts w:ascii="Calibri" w:hAnsi="Calibri" w:cs="Calibri"/>
          <w:sz w:val="24"/>
          <w:szCs w:val="24"/>
        </w:rPr>
        <w:t>e</w:t>
      </w:r>
      <w:r w:rsidR="004469C6" w:rsidRPr="006E5743">
        <w:rPr>
          <w:rFonts w:ascii="Calibri" w:hAnsi="Calibri" w:cs="Calibri"/>
          <w:sz w:val="24"/>
          <w:szCs w:val="24"/>
        </w:rPr>
        <w:t>pidemiolog</w:t>
      </w:r>
      <w:r w:rsidR="004469C6">
        <w:rPr>
          <w:rFonts w:ascii="Calibri" w:hAnsi="Calibri" w:cs="Calibri"/>
          <w:sz w:val="24"/>
          <w:szCs w:val="24"/>
        </w:rPr>
        <w:t>y</w:t>
      </w:r>
      <w:r w:rsidR="00300CBB">
        <w:rPr>
          <w:rFonts w:ascii="Calibri" w:hAnsi="Calibri" w:cs="Calibri"/>
          <w:sz w:val="24"/>
          <w:szCs w:val="24"/>
        </w:rPr>
        <w:t xml:space="preserve">. </w:t>
      </w:r>
    </w:p>
    <w:p w14:paraId="30290CC7" w14:textId="533C69AD" w:rsidR="00482803" w:rsidRPr="006E5743" w:rsidRDefault="00482803" w:rsidP="00482803">
      <w:pPr>
        <w:pStyle w:val="NumberLevel1"/>
        <w:ind w:left="720"/>
        <w:rPr>
          <w:rFonts w:ascii="Calibri" w:hAnsi="Calibri" w:cs="Calibri"/>
          <w:sz w:val="24"/>
          <w:szCs w:val="24"/>
        </w:rPr>
      </w:pPr>
      <w:r w:rsidRPr="00300CBB">
        <w:rPr>
          <w:rFonts w:ascii="Calibri" w:hAnsi="Calibri" w:cs="Calibri"/>
          <w:b/>
          <w:bCs/>
          <w:sz w:val="24"/>
          <w:szCs w:val="24"/>
        </w:rPr>
        <w:t>Dr Richard Arenson</w:t>
      </w:r>
      <w:r w:rsidR="00B45795">
        <w:rPr>
          <w:rFonts w:ascii="Calibri" w:hAnsi="Calibri" w:cs="Calibri"/>
          <w:b/>
          <w:bCs/>
          <w:sz w:val="24"/>
          <w:szCs w:val="24"/>
        </w:rPr>
        <w:t>,</w:t>
      </w:r>
      <w:r w:rsidRPr="006E5743">
        <w:rPr>
          <w:rFonts w:ascii="Calibri" w:hAnsi="Calibri" w:cs="Calibri"/>
          <w:sz w:val="24"/>
          <w:szCs w:val="24"/>
        </w:rPr>
        <w:t xml:space="preserve"> MBBS</w:t>
      </w:r>
      <w:r w:rsidR="00B45795">
        <w:rPr>
          <w:rFonts w:ascii="Calibri" w:hAnsi="Calibri" w:cs="Calibri"/>
          <w:sz w:val="24"/>
          <w:szCs w:val="24"/>
        </w:rPr>
        <w:t>,</w:t>
      </w:r>
      <w:r w:rsidRPr="006E5743">
        <w:rPr>
          <w:rFonts w:ascii="Calibri" w:hAnsi="Calibri" w:cs="Calibri"/>
          <w:sz w:val="24"/>
          <w:szCs w:val="24"/>
        </w:rPr>
        <w:t xml:space="preserve"> FRACP</w:t>
      </w:r>
      <w:r w:rsidR="0030451E">
        <w:rPr>
          <w:rFonts w:ascii="Calibri" w:hAnsi="Calibri" w:cs="Calibri"/>
          <w:sz w:val="24"/>
          <w:szCs w:val="24"/>
        </w:rPr>
        <w:t>. Dr Arenson’s expertise includes</w:t>
      </w:r>
      <w:r w:rsidR="00B45795">
        <w:rPr>
          <w:rFonts w:ascii="Calibri" w:hAnsi="Calibri" w:cs="Calibri"/>
          <w:sz w:val="24"/>
          <w:szCs w:val="24"/>
        </w:rPr>
        <w:t xml:space="preserve"> </w:t>
      </w:r>
      <w:r>
        <w:rPr>
          <w:rFonts w:ascii="Calibri" w:hAnsi="Calibri" w:cs="Calibri"/>
          <w:sz w:val="24"/>
          <w:szCs w:val="24"/>
        </w:rPr>
        <w:t>e</w:t>
      </w:r>
      <w:r w:rsidRPr="006E5743">
        <w:rPr>
          <w:rFonts w:ascii="Calibri" w:hAnsi="Calibri" w:cs="Calibri"/>
          <w:sz w:val="24"/>
          <w:szCs w:val="24"/>
        </w:rPr>
        <w:t>ndocrinology</w:t>
      </w:r>
      <w:r>
        <w:rPr>
          <w:rFonts w:ascii="Calibri" w:hAnsi="Calibri" w:cs="Calibri"/>
          <w:sz w:val="24"/>
          <w:szCs w:val="24"/>
        </w:rPr>
        <w:t xml:space="preserve"> and g</w:t>
      </w:r>
      <w:r w:rsidRPr="006E5743">
        <w:rPr>
          <w:rFonts w:ascii="Calibri" w:hAnsi="Calibri" w:cs="Calibri"/>
          <w:sz w:val="24"/>
          <w:szCs w:val="24"/>
        </w:rPr>
        <w:t>eriatrics</w:t>
      </w:r>
      <w:r>
        <w:rPr>
          <w:rFonts w:ascii="Calibri" w:hAnsi="Calibri" w:cs="Calibri"/>
          <w:sz w:val="24"/>
          <w:szCs w:val="24"/>
        </w:rPr>
        <w:t xml:space="preserve">. </w:t>
      </w:r>
    </w:p>
    <w:p w14:paraId="460DC647" w14:textId="5AF09C6E" w:rsidR="00E4466A" w:rsidRPr="00300CBB" w:rsidRDefault="00E4466A" w:rsidP="00300CBB">
      <w:pPr>
        <w:pStyle w:val="NumberLevel1"/>
        <w:ind w:left="720"/>
        <w:rPr>
          <w:rFonts w:ascii="Calibri" w:hAnsi="Calibri" w:cs="Calibri"/>
          <w:sz w:val="24"/>
          <w:szCs w:val="24"/>
        </w:rPr>
      </w:pPr>
      <w:r w:rsidRPr="00B45795">
        <w:rPr>
          <w:rFonts w:ascii="Calibri" w:hAnsi="Calibri" w:cs="Calibri"/>
          <w:b/>
          <w:bCs/>
          <w:sz w:val="24"/>
          <w:szCs w:val="24"/>
          <w:lang w:val="de-DE"/>
        </w:rPr>
        <w:t>Dr Ian Gardner</w:t>
      </w:r>
      <w:r w:rsidR="00B45795" w:rsidRPr="00B45795">
        <w:rPr>
          <w:rFonts w:ascii="Calibri" w:hAnsi="Calibri" w:cs="Calibri"/>
          <w:b/>
          <w:bCs/>
          <w:sz w:val="24"/>
          <w:szCs w:val="24"/>
          <w:lang w:val="de-DE"/>
        </w:rPr>
        <w:t>,</w:t>
      </w:r>
      <w:r w:rsidRPr="00B45795">
        <w:rPr>
          <w:rFonts w:ascii="Calibri" w:hAnsi="Calibri" w:cs="Calibri"/>
          <w:sz w:val="24"/>
          <w:szCs w:val="24"/>
          <w:lang w:val="de-DE"/>
        </w:rPr>
        <w:t xml:space="preserve"> MBBS</w:t>
      </w:r>
      <w:r w:rsidR="00B45795" w:rsidRPr="00B45795">
        <w:rPr>
          <w:rFonts w:ascii="Calibri" w:hAnsi="Calibri" w:cs="Calibri"/>
          <w:sz w:val="24"/>
          <w:szCs w:val="24"/>
          <w:lang w:val="de-DE"/>
        </w:rPr>
        <w:t>,</w:t>
      </w:r>
      <w:r w:rsidRPr="00B45795">
        <w:rPr>
          <w:rFonts w:ascii="Calibri" w:hAnsi="Calibri" w:cs="Calibri"/>
          <w:sz w:val="24"/>
          <w:szCs w:val="24"/>
          <w:lang w:val="de-DE"/>
        </w:rPr>
        <w:t xml:space="preserve"> MPH</w:t>
      </w:r>
      <w:r w:rsidR="00B45795" w:rsidRPr="00B45795">
        <w:rPr>
          <w:rFonts w:ascii="Calibri" w:hAnsi="Calibri" w:cs="Calibri"/>
          <w:sz w:val="24"/>
          <w:szCs w:val="24"/>
          <w:lang w:val="de-DE"/>
        </w:rPr>
        <w:t>,</w:t>
      </w:r>
      <w:r w:rsidRPr="00B45795">
        <w:rPr>
          <w:rFonts w:ascii="Calibri" w:hAnsi="Calibri" w:cs="Calibri"/>
          <w:sz w:val="24"/>
          <w:szCs w:val="24"/>
          <w:lang w:val="de-DE"/>
        </w:rPr>
        <w:t xml:space="preserve"> FAFOEM</w:t>
      </w:r>
      <w:r w:rsidR="00300CBB" w:rsidRPr="00B45795">
        <w:rPr>
          <w:rFonts w:ascii="Calibri" w:hAnsi="Calibri" w:cs="Calibri"/>
          <w:sz w:val="24"/>
          <w:szCs w:val="24"/>
          <w:lang w:val="de-DE"/>
        </w:rPr>
        <w:t xml:space="preserve">. </w:t>
      </w:r>
      <w:r w:rsidR="00300CBB" w:rsidRPr="00300CBB">
        <w:rPr>
          <w:rFonts w:ascii="Calibri" w:hAnsi="Calibri" w:cs="Calibri"/>
          <w:sz w:val="24"/>
          <w:szCs w:val="24"/>
        </w:rPr>
        <w:t>Dr Gardner’s</w:t>
      </w:r>
      <w:r w:rsidR="00B45795">
        <w:rPr>
          <w:rFonts w:ascii="Calibri" w:hAnsi="Calibri" w:cs="Calibri"/>
          <w:sz w:val="24"/>
          <w:szCs w:val="24"/>
        </w:rPr>
        <w:t xml:space="preserve"> </w:t>
      </w:r>
      <w:r w:rsidR="00300CBB" w:rsidRPr="00300CBB">
        <w:rPr>
          <w:rFonts w:ascii="Calibri" w:hAnsi="Calibri" w:cs="Calibri"/>
          <w:sz w:val="24"/>
          <w:szCs w:val="24"/>
        </w:rPr>
        <w:t>expertise include</w:t>
      </w:r>
      <w:r w:rsidR="0030451E">
        <w:rPr>
          <w:rFonts w:ascii="Calibri" w:hAnsi="Calibri" w:cs="Calibri"/>
          <w:sz w:val="24"/>
          <w:szCs w:val="24"/>
        </w:rPr>
        <w:t>s</w:t>
      </w:r>
      <w:r w:rsidR="00300CBB" w:rsidRPr="00300CBB">
        <w:rPr>
          <w:rFonts w:ascii="Calibri" w:hAnsi="Calibri" w:cs="Calibri"/>
          <w:sz w:val="24"/>
          <w:szCs w:val="24"/>
        </w:rPr>
        <w:t xml:space="preserve"> </w:t>
      </w:r>
      <w:r w:rsidR="00300CBB">
        <w:rPr>
          <w:rFonts w:ascii="Calibri" w:hAnsi="Calibri" w:cs="Calibri"/>
          <w:sz w:val="24"/>
          <w:szCs w:val="24"/>
        </w:rPr>
        <w:t>o</w:t>
      </w:r>
      <w:r w:rsidRPr="00300CBB">
        <w:rPr>
          <w:rFonts w:ascii="Calibri" w:hAnsi="Calibri" w:cs="Calibri"/>
          <w:sz w:val="24"/>
          <w:szCs w:val="24"/>
        </w:rPr>
        <w:t xml:space="preserve">ccupational </w:t>
      </w:r>
      <w:r w:rsidR="00300CBB">
        <w:rPr>
          <w:rFonts w:ascii="Calibri" w:hAnsi="Calibri" w:cs="Calibri"/>
          <w:sz w:val="24"/>
          <w:szCs w:val="24"/>
        </w:rPr>
        <w:t>and</w:t>
      </w:r>
      <w:r w:rsidRPr="00300CBB">
        <w:rPr>
          <w:rFonts w:ascii="Calibri" w:hAnsi="Calibri" w:cs="Calibri"/>
          <w:sz w:val="24"/>
          <w:szCs w:val="24"/>
        </w:rPr>
        <w:t xml:space="preserve"> </w:t>
      </w:r>
      <w:r w:rsidR="00300CBB">
        <w:rPr>
          <w:rFonts w:ascii="Calibri" w:hAnsi="Calibri" w:cs="Calibri"/>
          <w:sz w:val="24"/>
          <w:szCs w:val="24"/>
        </w:rPr>
        <w:t>e</w:t>
      </w:r>
      <w:r w:rsidRPr="00300CBB">
        <w:rPr>
          <w:rFonts w:ascii="Calibri" w:hAnsi="Calibri" w:cs="Calibri"/>
          <w:sz w:val="24"/>
          <w:szCs w:val="24"/>
        </w:rPr>
        <w:t xml:space="preserve">nvironmental </w:t>
      </w:r>
      <w:r w:rsidR="00300CBB">
        <w:rPr>
          <w:rFonts w:ascii="Calibri" w:hAnsi="Calibri" w:cs="Calibri"/>
          <w:sz w:val="24"/>
          <w:szCs w:val="24"/>
        </w:rPr>
        <w:t>m</w:t>
      </w:r>
      <w:r w:rsidRPr="00300CBB">
        <w:rPr>
          <w:rFonts w:ascii="Calibri" w:hAnsi="Calibri" w:cs="Calibri"/>
          <w:sz w:val="24"/>
          <w:szCs w:val="24"/>
        </w:rPr>
        <w:t xml:space="preserve">edicine, </w:t>
      </w:r>
      <w:r w:rsidR="00300CBB">
        <w:rPr>
          <w:rFonts w:ascii="Calibri" w:hAnsi="Calibri" w:cs="Calibri"/>
          <w:sz w:val="24"/>
          <w:szCs w:val="24"/>
        </w:rPr>
        <w:t>p</w:t>
      </w:r>
      <w:r w:rsidRPr="00300CBB">
        <w:rPr>
          <w:rFonts w:ascii="Calibri" w:hAnsi="Calibri" w:cs="Calibri"/>
          <w:sz w:val="24"/>
          <w:szCs w:val="24"/>
        </w:rPr>
        <w:t xml:space="preserve">ublic </w:t>
      </w:r>
      <w:r w:rsidR="00300CBB">
        <w:rPr>
          <w:rFonts w:ascii="Calibri" w:hAnsi="Calibri" w:cs="Calibri"/>
          <w:sz w:val="24"/>
          <w:szCs w:val="24"/>
        </w:rPr>
        <w:t>h</w:t>
      </w:r>
      <w:r w:rsidRPr="00300CBB">
        <w:rPr>
          <w:rFonts w:ascii="Calibri" w:hAnsi="Calibri" w:cs="Calibri"/>
          <w:sz w:val="24"/>
          <w:szCs w:val="24"/>
        </w:rPr>
        <w:t xml:space="preserve">ealth, </w:t>
      </w:r>
      <w:r w:rsidR="00300CBB">
        <w:rPr>
          <w:rFonts w:ascii="Calibri" w:hAnsi="Calibri" w:cs="Calibri"/>
          <w:sz w:val="24"/>
          <w:szCs w:val="24"/>
        </w:rPr>
        <w:t>t</w:t>
      </w:r>
      <w:r w:rsidRPr="00300CBB">
        <w:rPr>
          <w:rFonts w:ascii="Calibri" w:hAnsi="Calibri" w:cs="Calibri"/>
          <w:sz w:val="24"/>
          <w:szCs w:val="24"/>
        </w:rPr>
        <w:t>oxicology</w:t>
      </w:r>
      <w:r w:rsidR="00B45795">
        <w:rPr>
          <w:rFonts w:ascii="Calibri" w:hAnsi="Calibri" w:cs="Calibri"/>
          <w:sz w:val="24"/>
          <w:szCs w:val="24"/>
        </w:rPr>
        <w:t>,</w:t>
      </w:r>
      <w:r w:rsidRPr="00300CBB">
        <w:rPr>
          <w:rFonts w:ascii="Calibri" w:hAnsi="Calibri" w:cs="Calibri"/>
          <w:sz w:val="24"/>
          <w:szCs w:val="24"/>
        </w:rPr>
        <w:t xml:space="preserve"> and </w:t>
      </w:r>
      <w:r w:rsidR="00300CBB">
        <w:rPr>
          <w:rFonts w:ascii="Calibri" w:hAnsi="Calibri" w:cs="Calibri"/>
          <w:sz w:val="24"/>
          <w:szCs w:val="24"/>
        </w:rPr>
        <w:t>b</w:t>
      </w:r>
      <w:r w:rsidRPr="00300CBB">
        <w:rPr>
          <w:rFonts w:ascii="Calibri" w:hAnsi="Calibri" w:cs="Calibri"/>
          <w:sz w:val="24"/>
          <w:szCs w:val="24"/>
        </w:rPr>
        <w:t>iostatistics/</w:t>
      </w:r>
      <w:r w:rsidR="00300CBB">
        <w:rPr>
          <w:rFonts w:ascii="Calibri" w:hAnsi="Calibri" w:cs="Calibri"/>
          <w:sz w:val="24"/>
          <w:szCs w:val="24"/>
        </w:rPr>
        <w:t>e</w:t>
      </w:r>
      <w:r w:rsidRPr="00300CBB">
        <w:rPr>
          <w:rFonts w:ascii="Calibri" w:hAnsi="Calibri" w:cs="Calibri"/>
          <w:sz w:val="24"/>
          <w:szCs w:val="24"/>
        </w:rPr>
        <w:t>pidemiology</w:t>
      </w:r>
      <w:r w:rsidR="00300CBB">
        <w:rPr>
          <w:rFonts w:ascii="Calibri" w:hAnsi="Calibri" w:cs="Calibri"/>
          <w:sz w:val="24"/>
          <w:szCs w:val="24"/>
        </w:rPr>
        <w:t xml:space="preserve">. </w:t>
      </w:r>
    </w:p>
    <w:p w14:paraId="49A14BC1" w14:textId="2E440256" w:rsidR="00E4466A" w:rsidRPr="006E5743" w:rsidRDefault="00E4466A" w:rsidP="00300CBB">
      <w:pPr>
        <w:pStyle w:val="NumberLevel1"/>
        <w:ind w:left="720"/>
        <w:rPr>
          <w:rFonts w:ascii="Calibri" w:hAnsi="Calibri" w:cs="Calibri"/>
          <w:sz w:val="24"/>
          <w:szCs w:val="24"/>
        </w:rPr>
      </w:pPr>
      <w:r w:rsidRPr="00300CBB">
        <w:rPr>
          <w:rFonts w:ascii="Calibri" w:hAnsi="Calibri" w:cs="Calibri"/>
          <w:b/>
          <w:bCs/>
          <w:sz w:val="24"/>
          <w:szCs w:val="24"/>
        </w:rPr>
        <w:t>Dr Kate O’Connor</w:t>
      </w:r>
      <w:r w:rsidR="000E000A">
        <w:rPr>
          <w:rFonts w:ascii="Calibri" w:hAnsi="Calibri" w:cs="Calibri"/>
          <w:b/>
          <w:bCs/>
          <w:sz w:val="24"/>
          <w:szCs w:val="24"/>
        </w:rPr>
        <w:t>,</w:t>
      </w:r>
      <w:r w:rsidRPr="00300CBB">
        <w:rPr>
          <w:rFonts w:ascii="Calibri" w:hAnsi="Calibri" w:cs="Calibri"/>
          <w:sz w:val="24"/>
          <w:szCs w:val="24"/>
        </w:rPr>
        <w:t xml:space="preserve"> MBBS</w:t>
      </w:r>
      <w:r w:rsidR="00B45795">
        <w:rPr>
          <w:rFonts w:ascii="Calibri" w:hAnsi="Calibri" w:cs="Calibri"/>
          <w:sz w:val="24"/>
          <w:szCs w:val="24"/>
        </w:rPr>
        <w:t>,</w:t>
      </w:r>
      <w:r w:rsidRPr="00300CBB">
        <w:rPr>
          <w:rFonts w:ascii="Calibri" w:hAnsi="Calibri" w:cs="Calibri"/>
          <w:sz w:val="24"/>
          <w:szCs w:val="24"/>
        </w:rPr>
        <w:t xml:space="preserve"> PhD</w:t>
      </w:r>
      <w:r w:rsidR="00B45795">
        <w:rPr>
          <w:rFonts w:ascii="Calibri" w:hAnsi="Calibri" w:cs="Calibri"/>
          <w:sz w:val="24"/>
          <w:szCs w:val="24"/>
        </w:rPr>
        <w:t>,</w:t>
      </w:r>
      <w:r w:rsidRPr="00300CBB">
        <w:rPr>
          <w:rFonts w:ascii="Calibri" w:hAnsi="Calibri" w:cs="Calibri"/>
          <w:sz w:val="24"/>
          <w:szCs w:val="24"/>
        </w:rPr>
        <w:t xml:space="preserve"> FRACP</w:t>
      </w:r>
      <w:r w:rsidR="00B45795">
        <w:rPr>
          <w:rFonts w:ascii="Calibri" w:hAnsi="Calibri" w:cs="Calibri"/>
          <w:sz w:val="24"/>
          <w:szCs w:val="24"/>
        </w:rPr>
        <w:t>,</w:t>
      </w:r>
      <w:r w:rsidRPr="00300CBB">
        <w:rPr>
          <w:rFonts w:ascii="Calibri" w:hAnsi="Calibri" w:cs="Calibri"/>
          <w:sz w:val="24"/>
          <w:szCs w:val="24"/>
        </w:rPr>
        <w:t xml:space="preserve"> FRCPA</w:t>
      </w:r>
      <w:r w:rsidR="00300CBB">
        <w:rPr>
          <w:rFonts w:ascii="Calibri" w:hAnsi="Calibri" w:cs="Calibri"/>
          <w:sz w:val="24"/>
          <w:szCs w:val="24"/>
        </w:rPr>
        <w:t>. Dr O’Connor’s expertise includes</w:t>
      </w:r>
      <w:r w:rsidRPr="006E5743">
        <w:rPr>
          <w:rFonts w:ascii="Calibri" w:hAnsi="Calibri" w:cs="Calibri"/>
          <w:sz w:val="24"/>
          <w:szCs w:val="24"/>
        </w:rPr>
        <w:t xml:space="preserve"> </w:t>
      </w:r>
      <w:r w:rsidR="00300CBB">
        <w:rPr>
          <w:rFonts w:ascii="Calibri" w:hAnsi="Calibri" w:cs="Calibri"/>
          <w:sz w:val="24"/>
          <w:szCs w:val="24"/>
        </w:rPr>
        <w:t>c</w:t>
      </w:r>
      <w:r w:rsidRPr="006E5743">
        <w:rPr>
          <w:rFonts w:ascii="Calibri" w:hAnsi="Calibri" w:cs="Calibri"/>
          <w:sz w:val="24"/>
          <w:szCs w:val="24"/>
        </w:rPr>
        <w:t xml:space="preserve">linical </w:t>
      </w:r>
      <w:r w:rsidR="00300CBB">
        <w:rPr>
          <w:rFonts w:ascii="Calibri" w:hAnsi="Calibri" w:cs="Calibri"/>
          <w:sz w:val="24"/>
          <w:szCs w:val="24"/>
        </w:rPr>
        <w:t>i</w:t>
      </w:r>
      <w:r w:rsidRPr="006E5743">
        <w:rPr>
          <w:rFonts w:ascii="Calibri" w:hAnsi="Calibri" w:cs="Calibri"/>
          <w:sz w:val="24"/>
          <w:szCs w:val="24"/>
        </w:rPr>
        <w:t xml:space="preserve">mmunology </w:t>
      </w:r>
      <w:r w:rsidR="00300CBB">
        <w:rPr>
          <w:rFonts w:ascii="Calibri" w:hAnsi="Calibri" w:cs="Calibri"/>
          <w:sz w:val="24"/>
          <w:szCs w:val="24"/>
        </w:rPr>
        <w:t>and i</w:t>
      </w:r>
      <w:r w:rsidRPr="006E5743">
        <w:rPr>
          <w:rFonts w:ascii="Calibri" w:hAnsi="Calibri" w:cs="Calibri"/>
          <w:sz w:val="24"/>
          <w:szCs w:val="24"/>
        </w:rPr>
        <w:t>mmunopathology</w:t>
      </w:r>
      <w:r w:rsidR="00300CBB">
        <w:rPr>
          <w:rFonts w:ascii="Calibri" w:hAnsi="Calibri" w:cs="Calibri"/>
          <w:sz w:val="24"/>
          <w:szCs w:val="24"/>
        </w:rPr>
        <w:t xml:space="preserve">. </w:t>
      </w:r>
    </w:p>
    <w:p w14:paraId="68BFF4E2" w14:textId="77777777" w:rsidR="00482CF4" w:rsidRDefault="00482CF4" w:rsidP="00482CF4">
      <w:pPr>
        <w:rPr>
          <w:rStyle w:val="Emphasis"/>
          <w:b/>
          <w:bCs/>
          <w:iCs w:val="0"/>
          <w:sz w:val="20"/>
          <w:szCs w:val="20"/>
        </w:rPr>
      </w:pPr>
    </w:p>
    <w:p w14:paraId="460ECC0E" w14:textId="4D419A0E" w:rsidR="001A3BEC" w:rsidRPr="00E1318C" w:rsidRDefault="001A3BEC" w:rsidP="00E1318C">
      <w:pPr>
        <w:rPr>
          <w:rStyle w:val="Emphasis"/>
          <w:iCs w:val="0"/>
          <w:sz w:val="20"/>
        </w:rPr>
      </w:pPr>
      <w:r w:rsidRPr="00E1318C">
        <w:rPr>
          <w:rStyle w:val="Emphasis"/>
          <w:iCs w:val="0"/>
          <w:sz w:val="20"/>
        </w:rPr>
        <w:t>The Legislation</w:t>
      </w:r>
      <w:bookmarkEnd w:id="49"/>
    </w:p>
    <w:p w14:paraId="460ECC0F" w14:textId="77777777" w:rsidR="001A3BEC" w:rsidRDefault="001A3BEC" w:rsidP="00116DCE">
      <w:pPr>
        <w:numPr>
          <w:ilvl w:val="0"/>
          <w:numId w:val="21"/>
        </w:numPr>
        <w:spacing w:before="140" w:after="140" w:line="280" w:lineRule="atLeast"/>
        <w:rPr>
          <w:rFonts w:ascii="Calibri" w:hAnsi="Calibri" w:cs="Calibri"/>
          <w:sz w:val="24"/>
        </w:rPr>
      </w:pPr>
      <w:r w:rsidRPr="00F54093">
        <w:rPr>
          <w:rFonts w:ascii="Calibri" w:hAnsi="Calibri" w:cs="Calibri"/>
          <w:sz w:val="24"/>
        </w:rPr>
        <w:t xml:space="preserve">The legislative scheme for the making of Statements of Principles is set out in Parts XIA and XIB of the VEA. Statements of Principles operate as templates. They are determined by the </w:t>
      </w:r>
      <w:proofErr w:type="gramStart"/>
      <w:r w:rsidRPr="00F54093">
        <w:rPr>
          <w:rFonts w:ascii="Calibri" w:hAnsi="Calibri" w:cs="Calibri"/>
          <w:sz w:val="24"/>
        </w:rPr>
        <w:t>RMA, and</w:t>
      </w:r>
      <w:proofErr w:type="gramEnd"/>
      <w:r w:rsidRPr="00F54093">
        <w:rPr>
          <w:rFonts w:ascii="Calibri" w:hAnsi="Calibri" w:cs="Calibri"/>
          <w:sz w:val="24"/>
        </w:rPr>
        <w:t xml:space="preserve"> set out those criteria (conditions or exposures), known as factors, that must as a minimum exist before it can be said that an injury, disease or death can </w:t>
      </w:r>
      <w:proofErr w:type="gramStart"/>
      <w:r w:rsidRPr="00F54093">
        <w:rPr>
          <w:rFonts w:ascii="Calibri" w:hAnsi="Calibri" w:cs="Calibri"/>
          <w:sz w:val="24"/>
        </w:rPr>
        <w:t>be connected with</w:t>
      </w:r>
      <w:proofErr w:type="gramEnd"/>
      <w:r w:rsidRPr="00F54093">
        <w:rPr>
          <w:rFonts w:ascii="Calibri" w:hAnsi="Calibri" w:cs="Calibri"/>
          <w:sz w:val="24"/>
        </w:rPr>
        <w:t xml:space="preserve"> service, on either or </w:t>
      </w:r>
      <w:proofErr w:type="gramStart"/>
      <w:r w:rsidRPr="00F54093">
        <w:rPr>
          <w:rFonts w:ascii="Calibri" w:hAnsi="Calibri" w:cs="Calibri"/>
          <w:sz w:val="24"/>
        </w:rPr>
        <w:t>both of the two</w:t>
      </w:r>
      <w:proofErr w:type="gramEnd"/>
      <w:r w:rsidRPr="00F54093">
        <w:rPr>
          <w:rFonts w:ascii="Calibri" w:hAnsi="Calibri" w:cs="Calibri"/>
          <w:sz w:val="24"/>
        </w:rPr>
        <w:t xml:space="preserve"> statutory tests, the reasonable hypothesis test </w:t>
      </w:r>
      <w:r w:rsidRPr="00F54093">
        <w:rPr>
          <w:rStyle w:val="FootnoteReference"/>
          <w:rFonts w:ascii="Calibri" w:hAnsi="Calibri" w:cs="Calibri"/>
        </w:rPr>
        <w:footnoteReference w:id="5"/>
      </w:r>
      <w:r w:rsidRPr="00F54093">
        <w:rPr>
          <w:rFonts w:ascii="Calibri" w:hAnsi="Calibri" w:cs="Calibri"/>
          <w:sz w:val="24"/>
        </w:rPr>
        <w:t xml:space="preserve"> and the balance of </w:t>
      </w:r>
      <w:r w:rsidRPr="00F54093">
        <w:rPr>
          <w:rFonts w:ascii="Calibri" w:hAnsi="Calibri" w:cs="Calibri"/>
          <w:sz w:val="24"/>
        </w:rPr>
        <w:lastRenderedPageBreak/>
        <w:t xml:space="preserve">probabilities test. </w:t>
      </w:r>
      <w:r w:rsidRPr="00F54093">
        <w:rPr>
          <w:rStyle w:val="FootnoteReference"/>
          <w:rFonts w:ascii="Calibri" w:hAnsi="Calibri" w:cs="Calibri"/>
        </w:rPr>
        <w:footnoteReference w:id="6"/>
      </w:r>
      <w:r w:rsidRPr="00F54093">
        <w:rPr>
          <w:rFonts w:ascii="Calibri" w:hAnsi="Calibri" w:cs="Calibri"/>
          <w:sz w:val="24"/>
        </w:rPr>
        <w:t xml:space="preserve">  Statements of Principles are ultimately applied by decision-makers in determining individual claims for benefits under the VEA and the </w:t>
      </w:r>
      <w:r w:rsidRPr="00F54093">
        <w:rPr>
          <w:rFonts w:ascii="Calibri" w:hAnsi="Calibri" w:cs="Calibri"/>
          <w:i/>
          <w:sz w:val="24"/>
        </w:rPr>
        <w:t>Military Rehabilitation and Compensation Act 2004</w:t>
      </w:r>
      <w:r w:rsidRPr="00F54093">
        <w:rPr>
          <w:rFonts w:ascii="Calibri" w:hAnsi="Calibri" w:cs="Calibri"/>
          <w:sz w:val="24"/>
        </w:rPr>
        <w:t xml:space="preserve"> (the MRCA). </w:t>
      </w:r>
      <w:r w:rsidRPr="00F54093">
        <w:rPr>
          <w:rFonts w:ascii="Calibri" w:hAnsi="Calibri" w:cs="Calibri"/>
          <w:sz w:val="24"/>
          <w:vertAlign w:val="superscript"/>
        </w:rPr>
        <w:footnoteReference w:id="7"/>
      </w:r>
    </w:p>
    <w:p w14:paraId="6C8576C0" w14:textId="70020964" w:rsidR="00B2456C" w:rsidRDefault="00B2456C">
      <w:pPr>
        <w:rPr>
          <w:rFonts w:ascii="Calibri" w:hAnsi="Calibri" w:cs="Calibri"/>
          <w:sz w:val="24"/>
        </w:rPr>
      </w:pPr>
      <w:r>
        <w:rPr>
          <w:rFonts w:ascii="Calibri" w:hAnsi="Calibri" w:cs="Calibri"/>
          <w:sz w:val="24"/>
        </w:rPr>
        <w:br w:type="page"/>
      </w:r>
    </w:p>
    <w:p w14:paraId="2F220C69" w14:textId="081FB672" w:rsidR="00B2456C" w:rsidRPr="003C1490" w:rsidRDefault="00B2456C" w:rsidP="003C1490">
      <w:pPr>
        <w:pStyle w:val="Heading2"/>
      </w:pPr>
      <w:bookmarkStart w:id="50" w:name="_Toc135294613"/>
      <w:bookmarkStart w:id="51" w:name="_Toc193702361"/>
      <w:bookmarkEnd w:id="4"/>
      <w:r w:rsidRPr="00B2456C">
        <w:lastRenderedPageBreak/>
        <w:t>APPENDIX C:</w:t>
      </w:r>
      <w:bookmarkEnd w:id="50"/>
      <w:r w:rsidRPr="00B2456C">
        <w:t xml:space="preserve">  </w:t>
      </w:r>
      <w:bookmarkStart w:id="52" w:name="_Toc135294614"/>
      <w:r w:rsidRPr="003C1490">
        <w:t xml:space="preserve">TABLE 1 </w:t>
      </w:r>
      <w:r w:rsidRPr="003C1490">
        <w:rPr>
          <w:caps/>
        </w:rPr>
        <w:t>List of abbreviations</w:t>
      </w:r>
      <w:bookmarkEnd w:id="51"/>
      <w:bookmarkEnd w:id="52"/>
    </w:p>
    <w:p w14:paraId="4842E6D2" w14:textId="77777777" w:rsidR="00B2456C" w:rsidRPr="00EF1E43" w:rsidRDefault="00B2456C" w:rsidP="00B2456C">
      <w:pPr>
        <w:spacing w:before="140" w:after="140" w:line="280" w:lineRule="atLeast"/>
        <w:rPr>
          <w:sz w:val="24"/>
        </w:rPr>
      </w:pPr>
    </w:p>
    <w:tbl>
      <w:tblPr>
        <w:tblW w:w="9748" w:type="dxa"/>
        <w:tblInd w:w="-5" w:type="dxa"/>
        <w:tblCellMar>
          <w:left w:w="30" w:type="dxa"/>
          <w:right w:w="30" w:type="dxa"/>
        </w:tblCellMar>
        <w:tblLook w:val="0000" w:firstRow="0" w:lastRow="0" w:firstColumn="0" w:lastColumn="0" w:noHBand="0" w:noVBand="0"/>
      </w:tblPr>
      <w:tblGrid>
        <w:gridCol w:w="1665"/>
        <w:gridCol w:w="8083"/>
      </w:tblGrid>
      <w:tr w:rsidR="00B2456C" w:rsidRPr="00EF1E43" w14:paraId="3ECE1A3E" w14:textId="77777777" w:rsidTr="00B2456C">
        <w:trPr>
          <w:cantSplit/>
          <w:trHeight w:val="370"/>
        </w:trPr>
        <w:tc>
          <w:tcPr>
            <w:tcW w:w="1665" w:type="dxa"/>
            <w:tcBorders>
              <w:top w:val="single" w:sz="4" w:space="0" w:color="auto"/>
              <w:left w:val="single" w:sz="4" w:space="0" w:color="auto"/>
              <w:bottom w:val="single" w:sz="4" w:space="0" w:color="auto"/>
              <w:right w:val="single" w:sz="4" w:space="0" w:color="auto"/>
            </w:tcBorders>
          </w:tcPr>
          <w:p w14:paraId="499DD57D" w14:textId="77777777" w:rsidR="00B2456C" w:rsidRPr="00B2456C" w:rsidRDefault="00B2456C" w:rsidP="00B2456C">
            <w:pPr>
              <w:rPr>
                <w:rFonts w:ascii="Calibri" w:eastAsiaTheme="minorHAnsi" w:hAnsi="Calibri" w:cs="Calibri"/>
                <w:b/>
                <w:bCs/>
              </w:rPr>
            </w:pPr>
            <w:r w:rsidRPr="00B2456C">
              <w:rPr>
                <w:rFonts w:ascii="Calibri" w:eastAsiaTheme="minorHAnsi" w:hAnsi="Calibri" w:cs="Calibri"/>
                <w:b/>
                <w:bCs/>
              </w:rPr>
              <w:t>Abbreviation</w:t>
            </w:r>
          </w:p>
        </w:tc>
        <w:tc>
          <w:tcPr>
            <w:tcW w:w="8083" w:type="dxa"/>
            <w:tcBorders>
              <w:top w:val="single" w:sz="4" w:space="0" w:color="auto"/>
              <w:left w:val="single" w:sz="4" w:space="0" w:color="auto"/>
              <w:bottom w:val="single" w:sz="4" w:space="0" w:color="auto"/>
              <w:right w:val="single" w:sz="4" w:space="0" w:color="auto"/>
            </w:tcBorders>
          </w:tcPr>
          <w:p w14:paraId="63D2274F" w14:textId="49F5136F" w:rsidR="00B2456C" w:rsidRPr="00B2456C" w:rsidRDefault="00B2456C" w:rsidP="00B2456C">
            <w:pPr>
              <w:rPr>
                <w:rFonts w:ascii="Calibri" w:eastAsiaTheme="minorHAnsi" w:hAnsi="Calibri" w:cs="Calibri"/>
                <w:b/>
                <w:bCs/>
              </w:rPr>
            </w:pPr>
            <w:r w:rsidRPr="00B2456C">
              <w:rPr>
                <w:rFonts w:ascii="Calibri" w:eastAsiaTheme="minorHAnsi" w:hAnsi="Calibri" w:cs="Calibri"/>
                <w:b/>
                <w:bCs/>
              </w:rPr>
              <w:t>Term</w:t>
            </w:r>
          </w:p>
          <w:p w14:paraId="103AE775" w14:textId="77777777" w:rsidR="00B2456C" w:rsidRPr="00B2456C" w:rsidRDefault="00B2456C" w:rsidP="00B2456C">
            <w:pPr>
              <w:rPr>
                <w:rFonts w:ascii="Calibri" w:eastAsiaTheme="minorHAnsi" w:hAnsi="Calibri" w:cs="Calibri"/>
                <w:b/>
                <w:bCs/>
              </w:rPr>
            </w:pPr>
          </w:p>
        </w:tc>
      </w:tr>
      <w:tr w:rsidR="00B2456C" w:rsidRPr="00EF1E43" w14:paraId="52DBD408" w14:textId="77777777" w:rsidTr="00C46E30">
        <w:trPr>
          <w:cantSplit/>
          <w:trHeight w:val="300"/>
        </w:trPr>
        <w:tc>
          <w:tcPr>
            <w:tcW w:w="1665" w:type="dxa"/>
            <w:tcBorders>
              <w:top w:val="single" w:sz="4" w:space="0" w:color="auto"/>
              <w:left w:val="single" w:sz="4" w:space="0" w:color="auto"/>
              <w:bottom w:val="single" w:sz="4" w:space="0" w:color="auto"/>
              <w:right w:val="single" w:sz="4" w:space="0" w:color="auto"/>
            </w:tcBorders>
          </w:tcPr>
          <w:p w14:paraId="03D192D8" w14:textId="77777777" w:rsidR="00B2456C" w:rsidRPr="00B2456C" w:rsidRDefault="00B2456C" w:rsidP="00B2456C">
            <w:pPr>
              <w:rPr>
                <w:rFonts w:ascii="Calibri" w:eastAsiaTheme="minorHAnsi" w:hAnsi="Calibri" w:cs="Calibri"/>
              </w:rPr>
            </w:pPr>
            <w:r w:rsidRPr="00B2456C">
              <w:rPr>
                <w:rFonts w:ascii="Calibri" w:eastAsiaTheme="minorHAnsi" w:hAnsi="Calibri" w:cs="Calibri"/>
              </w:rPr>
              <w:t>MRCA</w:t>
            </w:r>
          </w:p>
        </w:tc>
        <w:tc>
          <w:tcPr>
            <w:tcW w:w="8083" w:type="dxa"/>
            <w:tcBorders>
              <w:top w:val="single" w:sz="4" w:space="0" w:color="auto"/>
              <w:left w:val="single" w:sz="4" w:space="0" w:color="auto"/>
              <w:bottom w:val="single" w:sz="4" w:space="0" w:color="auto"/>
              <w:right w:val="single" w:sz="4" w:space="0" w:color="auto"/>
            </w:tcBorders>
          </w:tcPr>
          <w:p w14:paraId="19FB258A" w14:textId="77777777" w:rsidR="00B2456C" w:rsidRPr="00B2456C" w:rsidRDefault="00B2456C" w:rsidP="00B2456C">
            <w:pPr>
              <w:pStyle w:val="pf0"/>
              <w:spacing w:before="0" w:beforeAutospacing="0" w:after="0" w:afterAutospacing="0"/>
              <w:rPr>
                <w:rFonts w:ascii="Calibri" w:eastAsiaTheme="minorHAnsi" w:hAnsi="Calibri" w:cs="Calibri"/>
                <w:sz w:val="22"/>
              </w:rPr>
            </w:pPr>
            <w:r w:rsidRPr="00B2456C">
              <w:rPr>
                <w:rFonts w:ascii="Calibri" w:eastAsiaTheme="minorHAnsi" w:hAnsi="Calibri" w:cs="Calibri"/>
                <w:sz w:val="22"/>
              </w:rPr>
              <w:t xml:space="preserve">Military Rehabilitation and Compensation Act 2004 </w:t>
            </w:r>
          </w:p>
        </w:tc>
      </w:tr>
      <w:tr w:rsidR="00B2456C" w:rsidRPr="00EF1E43" w14:paraId="56402C80" w14:textId="77777777" w:rsidTr="00C46E30">
        <w:trPr>
          <w:cantSplit/>
          <w:trHeight w:val="300"/>
        </w:trPr>
        <w:tc>
          <w:tcPr>
            <w:tcW w:w="1665" w:type="dxa"/>
            <w:tcBorders>
              <w:top w:val="single" w:sz="4" w:space="0" w:color="auto"/>
              <w:left w:val="single" w:sz="4" w:space="0" w:color="auto"/>
              <w:bottom w:val="single" w:sz="4" w:space="0" w:color="auto"/>
              <w:right w:val="single" w:sz="4" w:space="0" w:color="auto"/>
            </w:tcBorders>
          </w:tcPr>
          <w:p w14:paraId="566219E3" w14:textId="77777777" w:rsidR="00B2456C" w:rsidRPr="00B2456C" w:rsidRDefault="00B2456C" w:rsidP="00B2456C">
            <w:pPr>
              <w:rPr>
                <w:rFonts w:ascii="Calibri" w:eastAsiaTheme="minorHAnsi" w:hAnsi="Calibri" w:cs="Calibri"/>
              </w:rPr>
            </w:pPr>
            <w:r w:rsidRPr="00B2456C">
              <w:rPr>
                <w:rFonts w:ascii="Calibri" w:eastAsiaTheme="minorHAnsi" w:hAnsi="Calibri" w:cs="Calibri"/>
              </w:rPr>
              <w:t>RMA</w:t>
            </w:r>
          </w:p>
        </w:tc>
        <w:tc>
          <w:tcPr>
            <w:tcW w:w="8083" w:type="dxa"/>
            <w:tcBorders>
              <w:top w:val="single" w:sz="4" w:space="0" w:color="auto"/>
              <w:left w:val="single" w:sz="4" w:space="0" w:color="auto"/>
              <w:bottom w:val="single" w:sz="4" w:space="0" w:color="auto"/>
              <w:right w:val="single" w:sz="4" w:space="0" w:color="auto"/>
            </w:tcBorders>
          </w:tcPr>
          <w:p w14:paraId="0C87F149" w14:textId="77777777" w:rsidR="00B2456C" w:rsidRPr="00B2456C" w:rsidRDefault="00B2456C" w:rsidP="00B2456C">
            <w:pPr>
              <w:rPr>
                <w:rFonts w:ascii="Calibri" w:eastAsiaTheme="minorHAnsi" w:hAnsi="Calibri" w:cs="Calibri"/>
              </w:rPr>
            </w:pPr>
            <w:r w:rsidRPr="00B2456C">
              <w:rPr>
                <w:rFonts w:ascii="Calibri" w:eastAsiaTheme="minorHAnsi" w:hAnsi="Calibri" w:cs="Calibri"/>
              </w:rPr>
              <w:t>Repatriation Medical Authority</w:t>
            </w:r>
          </w:p>
        </w:tc>
      </w:tr>
      <w:tr w:rsidR="00B2456C" w:rsidRPr="00EF1E43" w14:paraId="3BFF9C7D" w14:textId="77777777" w:rsidTr="00C46E30">
        <w:trPr>
          <w:cantSplit/>
          <w:trHeight w:val="300"/>
        </w:trPr>
        <w:tc>
          <w:tcPr>
            <w:tcW w:w="1665" w:type="dxa"/>
            <w:tcBorders>
              <w:top w:val="single" w:sz="4" w:space="0" w:color="auto"/>
              <w:left w:val="single" w:sz="4" w:space="0" w:color="auto"/>
              <w:bottom w:val="single" w:sz="4" w:space="0" w:color="auto"/>
              <w:right w:val="single" w:sz="4" w:space="0" w:color="auto"/>
            </w:tcBorders>
          </w:tcPr>
          <w:p w14:paraId="76F80011" w14:textId="77777777" w:rsidR="00B2456C" w:rsidRPr="00B2456C" w:rsidRDefault="00B2456C" w:rsidP="00B2456C">
            <w:pPr>
              <w:rPr>
                <w:rFonts w:ascii="Calibri" w:eastAsiaTheme="minorHAnsi" w:hAnsi="Calibri" w:cs="Calibri"/>
              </w:rPr>
            </w:pPr>
            <w:r w:rsidRPr="00B2456C">
              <w:rPr>
                <w:rFonts w:ascii="Calibri" w:eastAsiaTheme="minorHAnsi" w:hAnsi="Calibri" w:cs="Calibri"/>
              </w:rPr>
              <w:t>SMRC</w:t>
            </w:r>
          </w:p>
        </w:tc>
        <w:tc>
          <w:tcPr>
            <w:tcW w:w="8083" w:type="dxa"/>
            <w:tcBorders>
              <w:top w:val="single" w:sz="4" w:space="0" w:color="auto"/>
              <w:left w:val="single" w:sz="4" w:space="0" w:color="auto"/>
              <w:bottom w:val="single" w:sz="4" w:space="0" w:color="auto"/>
              <w:right w:val="single" w:sz="4" w:space="0" w:color="auto"/>
            </w:tcBorders>
          </w:tcPr>
          <w:p w14:paraId="232776A7" w14:textId="77777777" w:rsidR="00B2456C" w:rsidRPr="00B2456C" w:rsidRDefault="00B2456C" w:rsidP="00B2456C">
            <w:pPr>
              <w:rPr>
                <w:rFonts w:ascii="Calibri" w:eastAsiaTheme="minorHAnsi" w:hAnsi="Calibri" w:cs="Calibri"/>
              </w:rPr>
            </w:pPr>
            <w:r w:rsidRPr="00B2456C">
              <w:rPr>
                <w:rFonts w:ascii="Calibri" w:eastAsiaTheme="minorHAnsi" w:hAnsi="Calibri" w:cs="Calibri"/>
              </w:rPr>
              <w:t>Specialist Medical Review Council</w:t>
            </w:r>
          </w:p>
        </w:tc>
      </w:tr>
      <w:tr w:rsidR="00B2456C" w:rsidRPr="00EF1E43" w14:paraId="12D14816" w14:textId="77777777" w:rsidTr="00C46E30">
        <w:trPr>
          <w:cantSplit/>
          <w:trHeight w:val="300"/>
        </w:trPr>
        <w:tc>
          <w:tcPr>
            <w:tcW w:w="1665" w:type="dxa"/>
            <w:tcBorders>
              <w:top w:val="single" w:sz="4" w:space="0" w:color="auto"/>
              <w:left w:val="single" w:sz="4" w:space="0" w:color="auto"/>
              <w:bottom w:val="single" w:sz="4" w:space="0" w:color="auto"/>
              <w:right w:val="single" w:sz="4" w:space="0" w:color="auto"/>
            </w:tcBorders>
          </w:tcPr>
          <w:p w14:paraId="58234D9C" w14:textId="77777777" w:rsidR="00B2456C" w:rsidRPr="00B2456C" w:rsidRDefault="00B2456C" w:rsidP="00B2456C">
            <w:pPr>
              <w:rPr>
                <w:rFonts w:ascii="Calibri" w:eastAsiaTheme="minorHAnsi" w:hAnsi="Calibri" w:cs="Calibri"/>
              </w:rPr>
            </w:pPr>
            <w:r w:rsidRPr="00B2456C">
              <w:rPr>
                <w:rFonts w:ascii="Calibri" w:eastAsiaTheme="minorHAnsi" w:hAnsi="Calibri" w:cs="Calibri"/>
              </w:rPr>
              <w:t>VEA</w:t>
            </w:r>
          </w:p>
        </w:tc>
        <w:tc>
          <w:tcPr>
            <w:tcW w:w="8083" w:type="dxa"/>
            <w:tcBorders>
              <w:top w:val="single" w:sz="4" w:space="0" w:color="auto"/>
              <w:left w:val="single" w:sz="4" w:space="0" w:color="auto"/>
              <w:bottom w:val="single" w:sz="4" w:space="0" w:color="auto"/>
              <w:right w:val="single" w:sz="4" w:space="0" w:color="auto"/>
            </w:tcBorders>
          </w:tcPr>
          <w:p w14:paraId="5D655095" w14:textId="77777777" w:rsidR="00B2456C" w:rsidRPr="00B2456C" w:rsidRDefault="00B2456C" w:rsidP="00B2456C">
            <w:pPr>
              <w:rPr>
                <w:rFonts w:ascii="Calibri" w:eastAsiaTheme="minorHAnsi" w:hAnsi="Calibri" w:cs="Calibri"/>
              </w:rPr>
            </w:pPr>
            <w:r w:rsidRPr="00B2456C">
              <w:rPr>
                <w:rFonts w:ascii="Calibri" w:eastAsiaTheme="minorHAnsi" w:hAnsi="Calibri" w:cs="Calibri"/>
              </w:rPr>
              <w:t>Veterans' Entitlements Act 1986</w:t>
            </w:r>
          </w:p>
        </w:tc>
      </w:tr>
    </w:tbl>
    <w:p w14:paraId="460ECC11" w14:textId="77777777" w:rsidR="00E26CBB" w:rsidRPr="00FE374D" w:rsidRDefault="00E26CBB" w:rsidP="00E26CBB">
      <w:pPr>
        <w:jc w:val="both"/>
        <w:rPr>
          <w:rFonts w:ascii="Calibri" w:hAnsi="Calibri" w:cs="Calibri"/>
        </w:rPr>
      </w:pPr>
    </w:p>
    <w:p w14:paraId="460ECC12" w14:textId="77777777" w:rsidR="001A3BEC" w:rsidRPr="00FE374D" w:rsidRDefault="001A3BEC">
      <w:pPr>
        <w:rPr>
          <w:rFonts w:ascii="Calibri" w:hAnsi="Calibri" w:cs="Calibri"/>
          <w:b/>
          <w:color w:val="0000FF"/>
        </w:rPr>
      </w:pPr>
    </w:p>
    <w:tbl>
      <w:tblPr>
        <w:tblW w:w="8250" w:type="dxa"/>
        <w:tblLayout w:type="fixed"/>
        <w:tblLook w:val="01E0" w:firstRow="1" w:lastRow="1" w:firstColumn="1" w:lastColumn="1" w:noHBand="0" w:noVBand="0"/>
      </w:tblPr>
      <w:tblGrid>
        <w:gridCol w:w="8250"/>
      </w:tblGrid>
      <w:tr w:rsidR="001A3BEC" w:rsidRPr="00FE374D" w14:paraId="460ECC14" w14:textId="77777777" w:rsidTr="00832F3C">
        <w:trPr>
          <w:trHeight w:val="851"/>
        </w:trPr>
        <w:tc>
          <w:tcPr>
            <w:tcW w:w="8250" w:type="dxa"/>
            <w:shd w:val="clear" w:color="auto" w:fill="auto"/>
            <w:vAlign w:val="center"/>
          </w:tcPr>
          <w:p w14:paraId="460ECC13" w14:textId="77777777" w:rsidR="001A3BEC" w:rsidRPr="00FE374D" w:rsidRDefault="001A3BEC" w:rsidP="00C87279">
            <w:pPr>
              <w:rPr>
                <w:rFonts w:ascii="Calibri" w:hAnsi="Calibri" w:cs="Calibri"/>
                <w:b/>
                <w:sz w:val="24"/>
              </w:rPr>
            </w:pPr>
          </w:p>
        </w:tc>
      </w:tr>
    </w:tbl>
    <w:p w14:paraId="460ECC15" w14:textId="77777777" w:rsidR="001A3BEC" w:rsidRPr="00FE374D" w:rsidRDefault="001A3BEC">
      <w:pPr>
        <w:pStyle w:val="NumberLevel1"/>
        <w:rPr>
          <w:rFonts w:ascii="Calibri" w:hAnsi="Calibri" w:cs="Calibri"/>
        </w:rPr>
      </w:pPr>
    </w:p>
    <w:sectPr w:rsidR="001A3BEC" w:rsidRPr="00FE374D">
      <w:headerReference w:type="default" r:id="rId10"/>
      <w:footerReference w:type="even" r:id="rId11"/>
      <w:footerReference w:type="default" r:id="rId12"/>
      <w:headerReference w:type="first" r:id="rId13"/>
      <w:footerReference w:type="first" r:id="rId14"/>
      <w:pgSz w:w="11906" w:h="16838"/>
      <w:pgMar w:top="1797" w:right="1418"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7CAC6" w14:textId="77777777" w:rsidR="009D585B" w:rsidRDefault="009D585B">
      <w:r>
        <w:separator/>
      </w:r>
    </w:p>
  </w:endnote>
  <w:endnote w:type="continuationSeparator" w:id="0">
    <w:p w14:paraId="6AFA71FF" w14:textId="77777777" w:rsidR="009D585B" w:rsidRDefault="009D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onet (W1)">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CC1E" w14:textId="77777777" w:rsidR="00AE3301" w:rsidRDefault="00AE33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BYD\BYD\44898438\1</w:t>
    </w:r>
  </w:p>
  <w:p w14:paraId="460ECC1F" w14:textId="77777777" w:rsidR="00AE3301" w:rsidRDefault="00AE33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CC20" w14:textId="77777777" w:rsidR="00AE3301" w:rsidRDefault="00AE33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4093">
      <w:rPr>
        <w:rStyle w:val="PageNumber"/>
        <w:noProof/>
      </w:rPr>
      <w:t>7</w:t>
    </w:r>
    <w:r>
      <w:rPr>
        <w:rStyle w:val="PageNumber"/>
      </w:rPr>
      <w:fldChar w:fldCharType="end"/>
    </w:r>
  </w:p>
  <w:p w14:paraId="460ECC21" w14:textId="77777777" w:rsidR="00AE3301" w:rsidRDefault="00AE330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66CF" w14:textId="77777777" w:rsidR="00DF595A" w:rsidRPr="00F657F7" w:rsidRDefault="00DF595A" w:rsidP="00DF595A">
    <w:pPr>
      <w:pStyle w:val="Footer"/>
    </w:pPr>
  </w:p>
  <w:p w14:paraId="7B13FE14" w14:textId="77777777" w:rsidR="00DF595A" w:rsidRDefault="00DF5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C7E41" w14:textId="77777777" w:rsidR="009D585B" w:rsidRDefault="009D585B">
      <w:r>
        <w:separator/>
      </w:r>
    </w:p>
  </w:footnote>
  <w:footnote w:type="continuationSeparator" w:id="0">
    <w:p w14:paraId="1A280D93" w14:textId="77777777" w:rsidR="009D585B" w:rsidRDefault="009D585B">
      <w:r>
        <w:continuationSeparator/>
      </w:r>
    </w:p>
  </w:footnote>
  <w:footnote w:id="1">
    <w:p w14:paraId="460ECC27" w14:textId="7DD2B177" w:rsidR="00AE3301" w:rsidRPr="00C94CE2" w:rsidRDefault="00AE3301" w:rsidP="00B528A3">
      <w:pPr>
        <w:pStyle w:val="FootnoteText"/>
      </w:pPr>
      <w:r>
        <w:rPr>
          <w:rStyle w:val="FootnoteReference"/>
        </w:rPr>
        <w:footnoteRef/>
      </w:r>
      <w:r>
        <w:t xml:space="preserve"> </w:t>
      </w:r>
      <w:r>
        <w:tab/>
      </w:r>
      <w:r w:rsidRPr="00C94CE2">
        <w:t xml:space="preserve">The </w:t>
      </w:r>
      <w:r w:rsidR="00545A58" w:rsidRPr="00545A58">
        <w:t>sound medical-scientific evidence</w:t>
      </w:r>
      <w:r w:rsidR="00545A58">
        <w:t xml:space="preserve"> </w:t>
      </w:r>
      <w:r w:rsidRPr="00C94CE2">
        <w:t>is a subset of the available information. It comprises those articles which the Council considers:</w:t>
      </w:r>
    </w:p>
    <w:p w14:paraId="460ECC28" w14:textId="77777777" w:rsidR="00AE3301" w:rsidRPr="00C94CE2" w:rsidRDefault="00AE3301" w:rsidP="00B528A3">
      <w:pPr>
        <w:pStyle w:val="FootnoteText"/>
        <w:ind w:left="1275"/>
      </w:pPr>
      <w:r w:rsidRPr="00C94CE2">
        <w:t>a) are relevant to the matters within the proposed scope of review, and</w:t>
      </w:r>
    </w:p>
    <w:p w14:paraId="460ECC29" w14:textId="77777777" w:rsidR="00AE3301" w:rsidRPr="00C94CE2" w:rsidRDefault="00AE3301" w:rsidP="00B528A3">
      <w:pPr>
        <w:pStyle w:val="FootnoteText"/>
        <w:ind w:left="1275"/>
      </w:pPr>
      <w:r w:rsidRPr="00C94CE2">
        <w:t>b) satisfy the definition in the VEA of 'sound medical-scientific evidence'.</w:t>
      </w:r>
    </w:p>
    <w:p w14:paraId="460ECC2A" w14:textId="77777777" w:rsidR="00AE3301" w:rsidRPr="00C94CE2" w:rsidRDefault="00AE3301" w:rsidP="00B528A3">
      <w:pPr>
        <w:pStyle w:val="FootnoteText"/>
        <w:ind w:left="850"/>
      </w:pPr>
      <w:r w:rsidRPr="00C94CE2">
        <w:t xml:space="preserve">Sound medical-scientific evidence is defined in section 5AB(2) of the VEA as follows: </w:t>
      </w:r>
    </w:p>
    <w:p w14:paraId="460ECC2B" w14:textId="77777777" w:rsidR="00AE3301" w:rsidRPr="00C94CE2" w:rsidRDefault="00AE3301" w:rsidP="00B528A3">
      <w:pPr>
        <w:pStyle w:val="FootnoteText"/>
        <w:ind w:left="850"/>
      </w:pPr>
      <w:r w:rsidRPr="00C94CE2">
        <w:t>“Information about a particular kind of injury, disease or death is taken to be sound medical-scientific evidence if:</w:t>
      </w:r>
    </w:p>
    <w:p w14:paraId="460ECC2C" w14:textId="77777777" w:rsidR="00AE3301" w:rsidRPr="00C94CE2" w:rsidRDefault="00AE3301" w:rsidP="00B528A3">
      <w:pPr>
        <w:pStyle w:val="FootnoteText"/>
        <w:ind w:left="850"/>
      </w:pPr>
      <w:r w:rsidRPr="00C94CE2">
        <w:t>a) the information:</w:t>
      </w:r>
    </w:p>
    <w:p w14:paraId="460ECC2D" w14:textId="77777777" w:rsidR="00AE3301" w:rsidRPr="00C94CE2" w:rsidRDefault="00AE3301" w:rsidP="00B528A3">
      <w:pPr>
        <w:pStyle w:val="FootnoteText"/>
        <w:ind w:left="1275"/>
      </w:pPr>
      <w:r w:rsidRPr="00C94CE2">
        <w:t>(i) is consistent with material relating to medical-science that has been published in a medical or scientific publication and has been, in the opinion of the Repatriation Medical Authority, subjected to a peer review process; or</w:t>
      </w:r>
    </w:p>
    <w:p w14:paraId="460ECC2E" w14:textId="77777777" w:rsidR="00AE3301" w:rsidRPr="00C94CE2" w:rsidRDefault="00AE3301" w:rsidP="00B528A3">
      <w:pPr>
        <w:pStyle w:val="FootnoteText"/>
        <w:ind w:left="1275"/>
      </w:pPr>
      <w:r w:rsidRPr="00C94CE2">
        <w:t>(ii) in accordance with generally accepted medical practice, would serve as the basis for the diagnosis and management of a medical condition; and</w:t>
      </w:r>
    </w:p>
    <w:p w14:paraId="460ECC2F" w14:textId="77777777" w:rsidR="00AE3301" w:rsidRPr="00C94CE2" w:rsidRDefault="00AE3301" w:rsidP="00B528A3">
      <w:pPr>
        <w:pStyle w:val="FootnoteText"/>
        <w:ind w:left="850"/>
      </w:pPr>
      <w:r w:rsidRPr="00C94CE2">
        <w:t>b) in the case of information about how that kind of injury, disease or death may be caused – meets the applicable criteria for assessing causation currently applied in the field of epidemiology.</w:t>
      </w:r>
    </w:p>
    <w:p w14:paraId="460ECC30" w14:textId="77777777" w:rsidR="00AE3301" w:rsidRDefault="00AE3301" w:rsidP="00B528A3">
      <w:pPr>
        <w:pStyle w:val="FootnoteText"/>
        <w:ind w:left="850"/>
      </w:pPr>
    </w:p>
    <w:p w14:paraId="460ECC31" w14:textId="77777777" w:rsidR="00AE3301" w:rsidRDefault="00AE3301" w:rsidP="00B528A3">
      <w:pPr>
        <w:pStyle w:val="FootnoteText"/>
        <w:ind w:left="850"/>
      </w:pPr>
      <w:r>
        <w:t>The later requirement is held to mean ‘appropriate to be taken into account by epidemiologists’.</w:t>
      </w:r>
    </w:p>
  </w:footnote>
  <w:footnote w:id="2">
    <w:p w14:paraId="21C79A60" w14:textId="5739C486" w:rsidR="001916D5" w:rsidRPr="0088741C" w:rsidRDefault="004F415C" w:rsidP="001916D5">
      <w:pPr>
        <w:pStyle w:val="FootnoteText"/>
        <w:tabs>
          <w:tab w:val="clear" w:pos="425"/>
        </w:tabs>
        <w:spacing w:after="0"/>
        <w:ind w:left="0" w:right="282" w:firstLine="0"/>
      </w:pPr>
      <w:r>
        <w:rPr>
          <w:rStyle w:val="FootnoteReference"/>
        </w:rPr>
        <w:footnoteRef/>
      </w:r>
      <w:r>
        <w:t xml:space="preserve"> </w:t>
      </w:r>
      <w:r w:rsidR="001916D5">
        <w:tab/>
      </w:r>
      <w:r w:rsidR="001916D5" w:rsidRPr="0088741C">
        <w:t>Section 196</w:t>
      </w:r>
      <w:r w:rsidR="001916D5" w:rsidRPr="0088741C">
        <w:t xml:space="preserve">B(2) </w:t>
      </w:r>
      <w:r w:rsidR="001916D5">
        <w:t xml:space="preserve">of the VEA </w:t>
      </w:r>
      <w:r w:rsidR="001916D5" w:rsidRPr="0088741C">
        <w:t xml:space="preserve">sets out the ‘reasonable hypothesis test’: </w:t>
      </w:r>
    </w:p>
    <w:p w14:paraId="017A2B59" w14:textId="77777777" w:rsidR="001916D5" w:rsidRPr="0088741C" w:rsidRDefault="001916D5" w:rsidP="0073025D">
      <w:pPr>
        <w:pStyle w:val="FootnoteText"/>
        <w:tabs>
          <w:tab w:val="clear" w:pos="425"/>
        </w:tabs>
        <w:spacing w:after="0"/>
        <w:ind w:left="850" w:right="282" w:firstLine="0"/>
      </w:pPr>
      <w:r w:rsidRPr="0088741C">
        <w:t>(2)</w:t>
      </w:r>
      <w:r w:rsidRPr="0088741C">
        <w:tab/>
        <w:t>If the Authority is of the view that there is sound medical-scientific evidence that indicates that a</w:t>
      </w:r>
      <w:r>
        <w:t xml:space="preserve"> </w:t>
      </w:r>
      <w:r w:rsidRPr="0088741C">
        <w:t>particular kind of injury, disease or death can be related to:</w:t>
      </w:r>
    </w:p>
    <w:p w14:paraId="46DD99F9" w14:textId="77777777" w:rsidR="001916D5" w:rsidRPr="0088741C" w:rsidRDefault="001916D5" w:rsidP="0073025D">
      <w:pPr>
        <w:pStyle w:val="FootnoteText"/>
        <w:tabs>
          <w:tab w:val="clear" w:pos="425"/>
        </w:tabs>
        <w:spacing w:after="0"/>
        <w:ind w:left="850" w:right="282" w:firstLine="425"/>
      </w:pPr>
      <w:r w:rsidRPr="0088741C">
        <w:t>(a)</w:t>
      </w:r>
      <w:r w:rsidRPr="0088741C">
        <w:tab/>
        <w:t>operational service rendered by veterans; or</w:t>
      </w:r>
    </w:p>
    <w:p w14:paraId="3E68B87B" w14:textId="77777777" w:rsidR="001916D5" w:rsidRPr="0088741C" w:rsidRDefault="001916D5" w:rsidP="001916D5">
      <w:pPr>
        <w:pStyle w:val="FootnoteText"/>
        <w:tabs>
          <w:tab w:val="clear" w:pos="425"/>
        </w:tabs>
        <w:spacing w:after="0"/>
        <w:ind w:right="282" w:firstLine="425"/>
      </w:pPr>
      <w:r w:rsidRPr="0088741C">
        <w:t>(b)</w:t>
      </w:r>
      <w:r w:rsidRPr="0088741C">
        <w:tab/>
        <w:t>peacekeeping service rendered by members of Peacekeeping Forces; or</w:t>
      </w:r>
    </w:p>
    <w:p w14:paraId="527A0F83" w14:textId="77777777" w:rsidR="001916D5" w:rsidRPr="0088741C" w:rsidRDefault="001916D5" w:rsidP="001916D5">
      <w:pPr>
        <w:pStyle w:val="FootnoteText"/>
        <w:tabs>
          <w:tab w:val="clear" w:pos="425"/>
        </w:tabs>
        <w:spacing w:after="0"/>
        <w:ind w:right="282" w:firstLine="425"/>
      </w:pPr>
      <w:r w:rsidRPr="0088741C">
        <w:t xml:space="preserve">(c) </w:t>
      </w:r>
      <w:r w:rsidRPr="0088741C">
        <w:tab/>
        <w:t>hazardous service rendered by members of the Forces; or</w:t>
      </w:r>
    </w:p>
    <w:p w14:paraId="2FB203B6" w14:textId="77777777" w:rsidR="001916D5" w:rsidRPr="0088741C" w:rsidRDefault="001916D5" w:rsidP="001916D5">
      <w:pPr>
        <w:pStyle w:val="FootnoteText"/>
        <w:tabs>
          <w:tab w:val="clear" w:pos="425"/>
        </w:tabs>
        <w:spacing w:after="0"/>
        <w:ind w:right="282" w:firstLine="425"/>
      </w:pPr>
      <w:r w:rsidRPr="0088741C">
        <w:t xml:space="preserve">(ca) </w:t>
      </w:r>
      <w:r w:rsidRPr="0088741C">
        <w:tab/>
        <w:t>warlike or non-warlike service rendered by members;</w:t>
      </w:r>
    </w:p>
    <w:p w14:paraId="5B451EE7" w14:textId="77777777" w:rsidR="001916D5" w:rsidRPr="0088741C" w:rsidRDefault="001916D5" w:rsidP="001916D5">
      <w:pPr>
        <w:pStyle w:val="FootnoteText"/>
        <w:tabs>
          <w:tab w:val="clear" w:pos="425"/>
        </w:tabs>
        <w:spacing w:after="0"/>
        <w:ind w:right="282" w:firstLine="0"/>
      </w:pPr>
      <w:r w:rsidRPr="0088741C">
        <w:t>the Authority must determine a Statement of Principles in respect of that kind of injury, disease or death setting out:</w:t>
      </w:r>
    </w:p>
    <w:p w14:paraId="05BF7031" w14:textId="77777777" w:rsidR="001916D5" w:rsidRPr="0088741C" w:rsidRDefault="001916D5" w:rsidP="001916D5">
      <w:pPr>
        <w:pStyle w:val="FootnoteText"/>
        <w:tabs>
          <w:tab w:val="clear" w:pos="425"/>
        </w:tabs>
        <w:spacing w:after="0"/>
        <w:ind w:right="282" w:firstLine="425"/>
      </w:pPr>
      <w:r w:rsidRPr="0088741C">
        <w:t>(d)</w:t>
      </w:r>
      <w:r w:rsidRPr="0088741C">
        <w:tab/>
        <w:t xml:space="preserve"> the factors that must as a minimum exist; and</w:t>
      </w:r>
    </w:p>
    <w:p w14:paraId="1C3FCD56" w14:textId="77777777" w:rsidR="001916D5" w:rsidRPr="0088741C" w:rsidRDefault="001916D5" w:rsidP="001916D5">
      <w:pPr>
        <w:pStyle w:val="FootnoteText"/>
        <w:tabs>
          <w:tab w:val="clear" w:pos="425"/>
        </w:tabs>
        <w:spacing w:after="0"/>
        <w:ind w:right="282" w:firstLine="425"/>
      </w:pPr>
      <w:r w:rsidRPr="0088741C">
        <w:t>(e)</w:t>
      </w:r>
      <w:r w:rsidRPr="0088741C">
        <w:tab/>
        <w:t xml:space="preserve"> which of those factors must be related to service rendered by a person;</w:t>
      </w:r>
    </w:p>
    <w:p w14:paraId="56B5254C" w14:textId="77777777" w:rsidR="001916D5" w:rsidRPr="0088741C" w:rsidRDefault="001916D5" w:rsidP="001916D5">
      <w:pPr>
        <w:pStyle w:val="FootnoteText"/>
        <w:tabs>
          <w:tab w:val="clear" w:pos="425"/>
        </w:tabs>
        <w:spacing w:after="0"/>
        <w:ind w:left="142" w:right="282" w:firstLine="283"/>
      </w:pPr>
      <w:r w:rsidRPr="0088741C">
        <w:t>before it can be said that a reasonable hypothesis has been raised connecting an injury, disease</w:t>
      </w:r>
    </w:p>
    <w:p w14:paraId="1386B0E5" w14:textId="66426ADE" w:rsidR="004F415C" w:rsidRDefault="00E31BAD" w:rsidP="001916D5">
      <w:pPr>
        <w:pStyle w:val="FootnoteText"/>
      </w:pPr>
      <w:r>
        <w:tab/>
      </w:r>
      <w:r w:rsidR="001916D5" w:rsidRPr="0088741C">
        <w:t>or death of that kind with the circumstances of that service.</w:t>
      </w:r>
    </w:p>
  </w:footnote>
  <w:footnote w:id="3">
    <w:p w14:paraId="460ECC32" w14:textId="77777777" w:rsidR="00AE3301" w:rsidRDefault="00AE3301" w:rsidP="00B528A3">
      <w:pPr>
        <w:pStyle w:val="FootnoteText"/>
        <w:ind w:right="-7"/>
      </w:pPr>
      <w:r>
        <w:rPr>
          <w:rStyle w:val="FootnoteReference"/>
        </w:rPr>
        <w:footnoteRef/>
      </w:r>
      <w:r>
        <w:t xml:space="preserve"> </w:t>
      </w:r>
      <w:r>
        <w:tab/>
        <w:t xml:space="preserve">See the full Federal Court decision in </w:t>
      </w:r>
      <w:r>
        <w:rPr>
          <w:i/>
          <w:iCs/>
        </w:rPr>
        <w:t xml:space="preserve">Repatriation Commission v Bey </w:t>
      </w:r>
      <w:r>
        <w:t xml:space="preserve">(1997) 79 FCR 364 which cited with approval these comments from Veterans’ Review Board in </w:t>
      </w:r>
      <w:r>
        <w:rPr>
          <w:i/>
          <w:iCs/>
        </w:rPr>
        <w:t>Stacey</w:t>
      </w:r>
      <w:r>
        <w:t xml:space="preserve"> (unreported 26 June 1985), all of which were in turn cited with approval in the Moore J decision at [33].</w:t>
      </w:r>
    </w:p>
  </w:footnote>
  <w:footnote w:id="4">
    <w:p w14:paraId="092971DE" w14:textId="77777777" w:rsidR="00E31BAD" w:rsidRDefault="00AE3301" w:rsidP="00E31BAD">
      <w:pPr>
        <w:pStyle w:val="FootnoteText"/>
        <w:ind w:right="-7"/>
      </w:pPr>
      <w:r>
        <w:rPr>
          <w:rStyle w:val="FootnoteReference"/>
        </w:rPr>
        <w:footnoteRef/>
      </w:r>
      <w:r>
        <w:t xml:space="preserve"> </w:t>
      </w:r>
      <w:r>
        <w:tab/>
      </w:r>
      <w:r w:rsidR="00E31BAD">
        <w:t>Section 196</w:t>
      </w:r>
      <w:r w:rsidR="00E31BAD">
        <w:t>B(3) of the VEA sets out the ‘balance of probabilities test’:</w:t>
      </w:r>
    </w:p>
    <w:p w14:paraId="1601FB50" w14:textId="354FE827" w:rsidR="00E31BAD" w:rsidRDefault="00E31BAD" w:rsidP="00E31BAD">
      <w:pPr>
        <w:pStyle w:val="FootnoteText"/>
        <w:ind w:right="-7"/>
      </w:pPr>
      <w:r>
        <w:tab/>
        <w:t>(3)</w:t>
      </w:r>
      <w:r>
        <w:tab/>
        <w:t xml:space="preserve"> If the Authority is of the view that on the sound medical-scientific evidence available it is more</w:t>
      </w:r>
    </w:p>
    <w:p w14:paraId="6512DF3D" w14:textId="77777777" w:rsidR="00E31BAD" w:rsidRDefault="00E31BAD" w:rsidP="00E31BAD">
      <w:pPr>
        <w:pStyle w:val="FootnoteText"/>
        <w:ind w:right="-7"/>
      </w:pPr>
      <w:r>
        <w:tab/>
        <w:t>probable than not that a particular kind of injury, disease or death can be related to:</w:t>
      </w:r>
    </w:p>
    <w:p w14:paraId="200B0353" w14:textId="77777777" w:rsidR="00E31BAD" w:rsidRDefault="00E31BAD" w:rsidP="00E31BAD">
      <w:pPr>
        <w:pStyle w:val="FootnoteText"/>
        <w:ind w:right="-7"/>
      </w:pPr>
      <w:r>
        <w:tab/>
      </w:r>
      <w:r>
        <w:tab/>
        <w:t xml:space="preserve">(a) </w:t>
      </w:r>
      <w:r>
        <w:tab/>
        <w:t>eligible war service (other than operational service) rendered by veterans; or</w:t>
      </w:r>
    </w:p>
    <w:p w14:paraId="618B4AA9" w14:textId="77777777" w:rsidR="00E31BAD" w:rsidRDefault="00E31BAD" w:rsidP="00E31BAD">
      <w:pPr>
        <w:pStyle w:val="FootnoteText"/>
        <w:ind w:right="-7"/>
      </w:pPr>
      <w:r>
        <w:tab/>
      </w:r>
      <w:r>
        <w:tab/>
        <w:t xml:space="preserve">(b) </w:t>
      </w:r>
      <w:r>
        <w:tab/>
        <w:t>defence service (other than hazardous service) rendered by members of the Forces; or</w:t>
      </w:r>
    </w:p>
    <w:p w14:paraId="37BC287C" w14:textId="77777777" w:rsidR="00E31BAD" w:rsidRDefault="00E31BAD" w:rsidP="00E31BAD">
      <w:pPr>
        <w:pStyle w:val="FootnoteText"/>
        <w:ind w:right="-7"/>
      </w:pPr>
      <w:r>
        <w:tab/>
      </w:r>
      <w:r>
        <w:tab/>
        <w:t>(</w:t>
      </w:r>
      <w:r>
        <w:t xml:space="preserve">ba) </w:t>
      </w:r>
      <w:r>
        <w:tab/>
        <w:t>peacetime service rendered by members;</w:t>
      </w:r>
    </w:p>
    <w:p w14:paraId="4869F6E3" w14:textId="5589FDD4" w:rsidR="00E31BAD" w:rsidRDefault="00E31BAD" w:rsidP="00E31BAD">
      <w:pPr>
        <w:pStyle w:val="FootnoteText"/>
        <w:ind w:right="-7"/>
      </w:pPr>
      <w:r>
        <w:tab/>
        <w:t>the Authority must determine a Statement of Principles in respect of that kind of injury, disease or death setting out:</w:t>
      </w:r>
    </w:p>
    <w:p w14:paraId="24313424" w14:textId="77777777" w:rsidR="00E31BAD" w:rsidRDefault="00E31BAD" w:rsidP="00E31BAD">
      <w:pPr>
        <w:pStyle w:val="FootnoteText"/>
        <w:ind w:right="-7"/>
      </w:pPr>
      <w:r>
        <w:tab/>
      </w:r>
      <w:r>
        <w:tab/>
        <w:t>(c)</w:t>
      </w:r>
      <w:r>
        <w:tab/>
        <w:t>the factors that must exist; and</w:t>
      </w:r>
    </w:p>
    <w:p w14:paraId="0EA9FC1C" w14:textId="77777777" w:rsidR="00E31BAD" w:rsidRDefault="00E31BAD" w:rsidP="00E31BAD">
      <w:pPr>
        <w:pStyle w:val="FootnoteText"/>
        <w:ind w:right="-7"/>
      </w:pPr>
      <w:r>
        <w:tab/>
      </w:r>
      <w:r>
        <w:tab/>
        <w:t xml:space="preserve">(d) </w:t>
      </w:r>
      <w:r>
        <w:tab/>
        <w:t>which of those factors must be related to service rendered by a person;</w:t>
      </w:r>
    </w:p>
    <w:p w14:paraId="460ECC33" w14:textId="29DB89CE" w:rsidR="00AE3301" w:rsidRDefault="00E31BAD" w:rsidP="00E31BAD">
      <w:pPr>
        <w:pStyle w:val="FootnoteText"/>
        <w:ind w:right="-7"/>
      </w:pPr>
      <w:r>
        <w:tab/>
        <w:t>before it can be said that, on the balance of probabilities, an injury, disease or death of that kind is connected with the circumstances of that service.</w:t>
      </w:r>
    </w:p>
  </w:footnote>
  <w:footnote w:id="5">
    <w:p w14:paraId="460ECC34" w14:textId="77777777" w:rsidR="00AE3301" w:rsidRDefault="00AE3301">
      <w:pPr>
        <w:pStyle w:val="FootnoteText"/>
        <w:rPr>
          <w:szCs w:val="18"/>
        </w:rPr>
      </w:pPr>
      <w:r>
        <w:rPr>
          <w:rStyle w:val="FootnoteReference"/>
        </w:rPr>
        <w:footnoteRef/>
      </w:r>
      <w:r>
        <w:t xml:space="preserve"> </w:t>
      </w:r>
      <w:r>
        <w:tab/>
        <w:t xml:space="preserve">The reasonable hypothesis test is set out in section </w:t>
      </w:r>
      <w:r>
        <w:rPr>
          <w:szCs w:val="18"/>
        </w:rPr>
        <w:t>196</w:t>
      </w:r>
      <w:r>
        <w:rPr>
          <w:szCs w:val="18"/>
        </w:rPr>
        <w:t>B(2) of the VEA which provides;</w:t>
      </w:r>
    </w:p>
    <w:p w14:paraId="460ECC35" w14:textId="77777777" w:rsidR="00AE3301" w:rsidRDefault="00AE3301">
      <w:pPr>
        <w:pStyle w:val="FootnoteText"/>
        <w:tabs>
          <w:tab w:val="clear" w:pos="425"/>
          <w:tab w:val="left" w:pos="720"/>
        </w:tabs>
        <w:ind w:left="540" w:hanging="540"/>
        <w:rPr>
          <w:bCs/>
          <w:szCs w:val="18"/>
        </w:rPr>
      </w:pPr>
      <w:r>
        <w:rPr>
          <w:szCs w:val="18"/>
        </w:rPr>
        <w:tab/>
        <w:t>If the Authority is of the view that there is sound medical</w:t>
      </w:r>
      <w:r>
        <w:rPr>
          <w:szCs w:val="18"/>
        </w:rPr>
        <w:noBreakHyphen/>
        <w:t xml:space="preserve">scientific evidence that indicates that </w:t>
      </w:r>
      <w:r>
        <w:rPr>
          <w:bCs/>
          <w:szCs w:val="18"/>
        </w:rPr>
        <w:t>a particular kind of injury, disease or death can be related to:</w:t>
      </w:r>
    </w:p>
    <w:p w14:paraId="460ECC36" w14:textId="77777777" w:rsidR="00AE3301" w:rsidRDefault="00AE3301">
      <w:pPr>
        <w:pStyle w:val="FootnoteText"/>
        <w:tabs>
          <w:tab w:val="clear" w:pos="425"/>
          <w:tab w:val="left" w:pos="720"/>
          <w:tab w:val="left" w:pos="1080"/>
        </w:tabs>
        <w:ind w:left="540" w:firstLine="0"/>
        <w:rPr>
          <w:szCs w:val="18"/>
        </w:rPr>
      </w:pPr>
      <w:r>
        <w:rPr>
          <w:szCs w:val="18"/>
        </w:rPr>
        <w:t>(a)</w:t>
      </w:r>
      <w:r>
        <w:rPr>
          <w:szCs w:val="18"/>
        </w:rPr>
        <w:tab/>
        <w:t>operational service rendered by veterans; or</w:t>
      </w:r>
    </w:p>
    <w:p w14:paraId="460ECC37" w14:textId="77777777" w:rsidR="00AE3301" w:rsidRDefault="00AE3301">
      <w:pPr>
        <w:pStyle w:val="FootnoteText"/>
        <w:tabs>
          <w:tab w:val="clear" w:pos="425"/>
          <w:tab w:val="left" w:pos="720"/>
          <w:tab w:val="left" w:pos="1080"/>
        </w:tabs>
        <w:ind w:left="540" w:firstLine="0"/>
        <w:rPr>
          <w:szCs w:val="18"/>
        </w:rPr>
      </w:pPr>
      <w:r>
        <w:rPr>
          <w:szCs w:val="18"/>
        </w:rPr>
        <w:t>(b)</w:t>
      </w:r>
      <w:r>
        <w:rPr>
          <w:szCs w:val="18"/>
        </w:rPr>
        <w:tab/>
        <w:t>peacekeeping service rendered by members of Peacekeeping Forces; or</w:t>
      </w:r>
    </w:p>
    <w:p w14:paraId="460ECC38" w14:textId="77777777" w:rsidR="00AE3301" w:rsidRDefault="00AE3301">
      <w:pPr>
        <w:pStyle w:val="FootnoteText"/>
        <w:tabs>
          <w:tab w:val="clear" w:pos="425"/>
          <w:tab w:val="left" w:pos="720"/>
          <w:tab w:val="left" w:pos="1080"/>
        </w:tabs>
        <w:ind w:left="540" w:firstLine="0"/>
        <w:rPr>
          <w:szCs w:val="18"/>
        </w:rPr>
      </w:pPr>
      <w:r>
        <w:rPr>
          <w:szCs w:val="18"/>
        </w:rPr>
        <w:t>(c)</w:t>
      </w:r>
      <w:r>
        <w:rPr>
          <w:szCs w:val="18"/>
        </w:rPr>
        <w:tab/>
        <w:t>hazardous service rendered by members of the Forces; or</w:t>
      </w:r>
    </w:p>
    <w:p w14:paraId="460ECC39" w14:textId="77777777" w:rsidR="00AE3301" w:rsidRDefault="00AE3301">
      <w:pPr>
        <w:pStyle w:val="FootnoteText"/>
        <w:tabs>
          <w:tab w:val="clear" w:pos="425"/>
          <w:tab w:val="left" w:pos="720"/>
          <w:tab w:val="left" w:pos="1080"/>
        </w:tabs>
        <w:ind w:left="540" w:firstLine="0"/>
        <w:rPr>
          <w:szCs w:val="18"/>
        </w:rPr>
      </w:pPr>
      <w:r>
        <w:rPr>
          <w:szCs w:val="18"/>
        </w:rPr>
        <w:t>(</w:t>
      </w:r>
      <w:r>
        <w:rPr>
          <w:szCs w:val="18"/>
        </w:rPr>
        <w:t>caa)</w:t>
      </w:r>
      <w:r>
        <w:rPr>
          <w:szCs w:val="18"/>
        </w:rPr>
        <w:tab/>
        <w:t>British nuclear test defence service rendered by members of the Forces; or</w:t>
      </w:r>
    </w:p>
    <w:p w14:paraId="460ECC3A" w14:textId="77777777" w:rsidR="00AE3301" w:rsidRDefault="00AE3301">
      <w:pPr>
        <w:pStyle w:val="FootnoteText"/>
        <w:tabs>
          <w:tab w:val="clear" w:pos="425"/>
          <w:tab w:val="left" w:pos="720"/>
          <w:tab w:val="left" w:pos="1080"/>
        </w:tabs>
        <w:ind w:left="540" w:firstLine="0"/>
        <w:rPr>
          <w:szCs w:val="18"/>
        </w:rPr>
      </w:pPr>
      <w:r>
        <w:rPr>
          <w:szCs w:val="18"/>
        </w:rPr>
        <w:t>(ca)</w:t>
      </w:r>
      <w:r>
        <w:rPr>
          <w:szCs w:val="18"/>
        </w:rPr>
        <w:tab/>
        <w:t>warlike or non</w:t>
      </w:r>
      <w:r>
        <w:rPr>
          <w:szCs w:val="18"/>
        </w:rPr>
        <w:noBreakHyphen/>
        <w:t>warlike service rendered by members;</w:t>
      </w:r>
    </w:p>
    <w:p w14:paraId="460ECC3B" w14:textId="77777777" w:rsidR="00AE3301" w:rsidRDefault="00AE3301">
      <w:pPr>
        <w:pStyle w:val="FootnoteText"/>
        <w:tabs>
          <w:tab w:val="clear" w:pos="425"/>
          <w:tab w:val="left" w:pos="720"/>
        </w:tabs>
        <w:ind w:left="540" w:firstLine="0"/>
        <w:rPr>
          <w:szCs w:val="18"/>
        </w:rPr>
      </w:pPr>
      <w:r>
        <w:rPr>
          <w:szCs w:val="18"/>
        </w:rPr>
        <w:t>the Authority must determine a Statement of Principles in respect of that kind of injury, disease or death setting out:</w:t>
      </w:r>
    </w:p>
    <w:p w14:paraId="460ECC3C" w14:textId="77777777" w:rsidR="00AE3301" w:rsidRDefault="00AE3301">
      <w:pPr>
        <w:pStyle w:val="FootnoteText"/>
        <w:tabs>
          <w:tab w:val="clear" w:pos="425"/>
          <w:tab w:val="left" w:pos="720"/>
          <w:tab w:val="left" w:pos="1080"/>
        </w:tabs>
        <w:ind w:left="540" w:firstLine="0"/>
        <w:rPr>
          <w:szCs w:val="18"/>
        </w:rPr>
      </w:pPr>
      <w:r>
        <w:rPr>
          <w:szCs w:val="18"/>
        </w:rPr>
        <w:t>(d)</w:t>
      </w:r>
      <w:r>
        <w:rPr>
          <w:szCs w:val="18"/>
        </w:rPr>
        <w:tab/>
        <w:t>the factors that must as a minimum exist; and</w:t>
      </w:r>
    </w:p>
    <w:p w14:paraId="460ECC3D" w14:textId="77777777" w:rsidR="00AE3301" w:rsidRDefault="00AE3301">
      <w:pPr>
        <w:pStyle w:val="FootnoteText"/>
        <w:tabs>
          <w:tab w:val="clear" w:pos="425"/>
          <w:tab w:val="left" w:pos="720"/>
          <w:tab w:val="left" w:pos="1080"/>
        </w:tabs>
        <w:ind w:left="540" w:firstLine="0"/>
        <w:rPr>
          <w:szCs w:val="18"/>
        </w:rPr>
      </w:pPr>
      <w:r>
        <w:rPr>
          <w:szCs w:val="18"/>
        </w:rPr>
        <w:t>(e)</w:t>
      </w:r>
      <w:r>
        <w:rPr>
          <w:szCs w:val="18"/>
        </w:rPr>
        <w:tab/>
        <w:t>which of those factors must be related to service rendered by a person;</w:t>
      </w:r>
    </w:p>
    <w:p w14:paraId="460ECC3E" w14:textId="77777777" w:rsidR="00AE3301" w:rsidRDefault="00AE3301">
      <w:pPr>
        <w:pStyle w:val="FootnoteText"/>
      </w:pPr>
      <w:r>
        <w:rPr>
          <w:szCs w:val="18"/>
        </w:rPr>
        <w:tab/>
        <w:t>before it can be said that a reasonable hypothesis has been raised connecting an injury, disease or death of that kind with the circumstances of that service.</w:t>
      </w:r>
    </w:p>
  </w:footnote>
  <w:footnote w:id="6">
    <w:p w14:paraId="460ECC3F" w14:textId="77777777" w:rsidR="00AE3301" w:rsidRDefault="00AE3301">
      <w:pPr>
        <w:pStyle w:val="FootnoteText"/>
      </w:pPr>
      <w:r>
        <w:rPr>
          <w:rStyle w:val="FootnoteReference"/>
        </w:rPr>
        <w:footnoteRef/>
      </w:r>
      <w:r>
        <w:t xml:space="preserve"> </w:t>
      </w:r>
      <w:r>
        <w:tab/>
        <w:t>The balance of probabilities test is set out in section 196</w:t>
      </w:r>
      <w:r>
        <w:t>B(3) of the VEA which provides:</w:t>
      </w:r>
    </w:p>
    <w:p w14:paraId="460ECC40" w14:textId="77777777" w:rsidR="00AE3301" w:rsidRDefault="00AE3301">
      <w:pPr>
        <w:pStyle w:val="FootnoteText"/>
        <w:tabs>
          <w:tab w:val="clear" w:pos="425"/>
          <w:tab w:val="left" w:pos="540"/>
        </w:tabs>
        <w:ind w:left="540" w:firstLine="0"/>
        <w:rPr>
          <w:kern w:val="28"/>
          <w:szCs w:val="18"/>
          <w:lang w:val="en-US"/>
        </w:rPr>
      </w:pPr>
      <w:r>
        <w:rPr>
          <w:kern w:val="28"/>
          <w:szCs w:val="18"/>
          <w:lang w:val="en-US"/>
        </w:rPr>
        <w:t>If the Authority is of the view that on the sound medical</w:t>
      </w:r>
      <w:r>
        <w:rPr>
          <w:kern w:val="28"/>
          <w:szCs w:val="18"/>
          <w:lang w:val="en-US"/>
        </w:rPr>
        <w:noBreakHyphen/>
        <w:t>scientific evidence available it is more probable than not that a particular kind of injury, disease or death can be related to:</w:t>
      </w:r>
    </w:p>
    <w:p w14:paraId="460ECC41" w14:textId="77777777" w:rsidR="00AE3301" w:rsidRDefault="00AE3301">
      <w:pPr>
        <w:pStyle w:val="FootnoteText"/>
        <w:tabs>
          <w:tab w:val="clear" w:pos="425"/>
          <w:tab w:val="left" w:pos="540"/>
          <w:tab w:val="left" w:pos="1080"/>
        </w:tabs>
        <w:ind w:left="540" w:firstLine="0"/>
        <w:rPr>
          <w:kern w:val="28"/>
          <w:szCs w:val="18"/>
          <w:lang w:val="en-US"/>
        </w:rPr>
      </w:pPr>
      <w:r>
        <w:rPr>
          <w:kern w:val="28"/>
          <w:szCs w:val="18"/>
          <w:lang w:val="en-US"/>
        </w:rPr>
        <w:t>(a)</w:t>
      </w:r>
      <w:r>
        <w:rPr>
          <w:kern w:val="28"/>
          <w:szCs w:val="18"/>
          <w:lang w:val="en-US"/>
        </w:rPr>
        <w:tab/>
        <w:t>eligible war service (other than operational service) rendered by veterans; or</w:t>
      </w:r>
    </w:p>
    <w:p w14:paraId="460ECC42" w14:textId="77777777" w:rsidR="00AE3301" w:rsidRDefault="00AE3301">
      <w:pPr>
        <w:pStyle w:val="FootnoteText"/>
        <w:tabs>
          <w:tab w:val="clear" w:pos="425"/>
          <w:tab w:val="left" w:pos="540"/>
          <w:tab w:val="left" w:pos="1080"/>
        </w:tabs>
        <w:ind w:left="1080" w:hanging="540"/>
        <w:rPr>
          <w:kern w:val="28"/>
          <w:szCs w:val="18"/>
          <w:lang w:val="en-US"/>
        </w:rPr>
      </w:pPr>
      <w:r>
        <w:rPr>
          <w:kern w:val="28"/>
          <w:szCs w:val="18"/>
          <w:lang w:val="en-US"/>
        </w:rPr>
        <w:t>(b)</w:t>
      </w:r>
      <w:r>
        <w:rPr>
          <w:kern w:val="28"/>
          <w:szCs w:val="18"/>
          <w:lang w:val="en-US"/>
        </w:rPr>
        <w:tab/>
      </w:r>
      <w:r>
        <w:rPr>
          <w:kern w:val="28"/>
          <w:szCs w:val="18"/>
          <w:lang w:val="en-US"/>
        </w:rPr>
        <w:t>defence service (other than hazardous service and British nuclear test defence service) rendered by members of the Forces; or</w:t>
      </w:r>
    </w:p>
    <w:p w14:paraId="460ECC43" w14:textId="77777777" w:rsidR="00AE3301" w:rsidRDefault="00AE3301">
      <w:pPr>
        <w:pStyle w:val="FootnoteText"/>
        <w:tabs>
          <w:tab w:val="clear" w:pos="425"/>
          <w:tab w:val="left" w:pos="540"/>
          <w:tab w:val="left" w:pos="1080"/>
        </w:tabs>
        <w:ind w:left="540" w:firstLine="0"/>
        <w:rPr>
          <w:kern w:val="28"/>
          <w:szCs w:val="18"/>
          <w:lang w:val="en-US"/>
        </w:rPr>
      </w:pPr>
      <w:r>
        <w:rPr>
          <w:kern w:val="28"/>
          <w:szCs w:val="18"/>
          <w:lang w:val="en-US"/>
        </w:rPr>
        <w:t>(ba)</w:t>
      </w:r>
      <w:r>
        <w:rPr>
          <w:kern w:val="28"/>
          <w:szCs w:val="18"/>
          <w:lang w:val="en-US"/>
        </w:rPr>
        <w:tab/>
        <w:t>peacetime service rendered by members;</w:t>
      </w:r>
    </w:p>
    <w:p w14:paraId="460ECC44" w14:textId="77777777" w:rsidR="00AE3301" w:rsidRDefault="00AE3301">
      <w:pPr>
        <w:pStyle w:val="FootnoteText"/>
        <w:tabs>
          <w:tab w:val="clear" w:pos="425"/>
          <w:tab w:val="left" w:pos="540"/>
        </w:tabs>
        <w:spacing w:before="20"/>
        <w:ind w:left="539" w:firstLine="0"/>
        <w:rPr>
          <w:kern w:val="28"/>
          <w:szCs w:val="18"/>
          <w:lang w:val="en-US"/>
        </w:rPr>
      </w:pPr>
      <w:r>
        <w:rPr>
          <w:kern w:val="28"/>
          <w:szCs w:val="18"/>
          <w:lang w:val="en-US"/>
        </w:rPr>
        <w:t>the Authority must determine a Statement of Principles in respect of that kind of injury, disease or death setting out:</w:t>
      </w:r>
    </w:p>
    <w:p w14:paraId="460ECC45" w14:textId="77777777" w:rsidR="00AE3301" w:rsidRDefault="00AE3301">
      <w:pPr>
        <w:pStyle w:val="FootnoteText"/>
        <w:tabs>
          <w:tab w:val="clear" w:pos="425"/>
          <w:tab w:val="left" w:pos="540"/>
          <w:tab w:val="left" w:pos="1080"/>
        </w:tabs>
        <w:ind w:left="540" w:firstLine="0"/>
        <w:rPr>
          <w:kern w:val="28"/>
          <w:szCs w:val="18"/>
          <w:lang w:val="en-US"/>
        </w:rPr>
      </w:pPr>
      <w:r>
        <w:rPr>
          <w:kern w:val="28"/>
          <w:szCs w:val="18"/>
          <w:lang w:val="en-US"/>
        </w:rPr>
        <w:t>(c)</w:t>
      </w:r>
      <w:r>
        <w:rPr>
          <w:kern w:val="28"/>
          <w:szCs w:val="18"/>
          <w:lang w:val="en-US"/>
        </w:rPr>
        <w:tab/>
        <w:t>the factors that must exist; and</w:t>
      </w:r>
    </w:p>
    <w:p w14:paraId="460ECC46" w14:textId="77777777" w:rsidR="00AE3301" w:rsidRDefault="00AE3301">
      <w:pPr>
        <w:pStyle w:val="FootnoteText"/>
        <w:tabs>
          <w:tab w:val="clear" w:pos="425"/>
          <w:tab w:val="left" w:pos="540"/>
          <w:tab w:val="left" w:pos="1080"/>
        </w:tabs>
        <w:ind w:left="540" w:firstLine="0"/>
        <w:rPr>
          <w:kern w:val="28"/>
          <w:szCs w:val="18"/>
          <w:lang w:val="en-US"/>
        </w:rPr>
      </w:pPr>
      <w:r>
        <w:rPr>
          <w:kern w:val="28"/>
          <w:szCs w:val="18"/>
          <w:lang w:val="en-US"/>
        </w:rPr>
        <w:t>(d)</w:t>
      </w:r>
      <w:r>
        <w:rPr>
          <w:kern w:val="28"/>
          <w:szCs w:val="18"/>
          <w:lang w:val="en-US"/>
        </w:rPr>
        <w:tab/>
        <w:t>which of those factors must be related to service rendered by a person;</w:t>
      </w:r>
    </w:p>
    <w:p w14:paraId="460ECC47" w14:textId="77777777" w:rsidR="00AE3301" w:rsidRDefault="00AE3301">
      <w:pPr>
        <w:pStyle w:val="FootnoteText"/>
        <w:tabs>
          <w:tab w:val="clear" w:pos="425"/>
          <w:tab w:val="left" w:pos="540"/>
        </w:tabs>
        <w:ind w:left="540" w:firstLine="0"/>
        <w:rPr>
          <w:szCs w:val="18"/>
        </w:rPr>
      </w:pPr>
      <w:r>
        <w:rPr>
          <w:kern w:val="28"/>
          <w:szCs w:val="18"/>
          <w:lang w:val="en-US"/>
        </w:rPr>
        <w:t>before it can be said that, on the balance of probabilities, an injury, disease or death of that kind is connected with the circumstances of that service.</w:t>
      </w:r>
    </w:p>
  </w:footnote>
  <w:footnote w:id="7">
    <w:p w14:paraId="460ECC48" w14:textId="77777777" w:rsidR="00AE3301" w:rsidRDefault="00AE3301">
      <w:pPr>
        <w:pStyle w:val="FootnoteText"/>
        <w:tabs>
          <w:tab w:val="right" w:pos="8220"/>
        </w:tabs>
        <w:rPr>
          <w:szCs w:val="18"/>
        </w:rPr>
      </w:pPr>
      <w:r>
        <w:rPr>
          <w:rStyle w:val="FootnoteReference"/>
          <w:szCs w:val="18"/>
        </w:rPr>
        <w:footnoteRef/>
      </w:r>
      <w:r>
        <w:rPr>
          <w:szCs w:val="18"/>
        </w:rPr>
        <w:tab/>
        <w:t>See sections 120, 120A and 120B of the VEA and sections 335, 338 and 339 of the MRCA.</w:t>
      </w:r>
      <w:r>
        <w:rPr>
          <w:szCs w:val="18"/>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CC1D" w14:textId="53764D34" w:rsidR="00AE3301" w:rsidRDefault="00AE3301">
    <w:pPr>
      <w:pStyle w:val="Draftin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CC22" w14:textId="50E46664" w:rsidR="00AE3301" w:rsidRDefault="00AE3301">
    <w:pPr>
      <w:pStyle w:val="DraftinHeader"/>
      <w:tabs>
        <w:tab w:val="clear" w:pos="8220"/>
        <w:tab w:val="left" w:pos="3130"/>
      </w:tabs>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C50"/>
    <w:multiLevelType w:val="multilevel"/>
    <w:tmpl w:val="C4C43A94"/>
    <w:styleLink w:val="Style1"/>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1" w15:restartNumberingAfterBreak="0">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72C411E"/>
    <w:multiLevelType w:val="hybridMultilevel"/>
    <w:tmpl w:val="D138C636"/>
    <w:name w:val="AGSPart23"/>
    <w:lvl w:ilvl="0" w:tplc="1454546E">
      <w:start w:val="1"/>
      <w:numFmt w:val="lowerLetter"/>
      <w:lvlText w:val="%1."/>
      <w:lvlJc w:val="left"/>
      <w:pPr>
        <w:tabs>
          <w:tab w:val="num" w:pos="1440"/>
        </w:tabs>
        <w:ind w:left="1440" w:hanging="720"/>
      </w:pPr>
      <w:rPr>
        <w:rFonts w:ascii="Arial" w:hAnsi="Arial" w:hint="default"/>
        <w:b w:val="0"/>
        <w:i w:val="0"/>
        <w:sz w:val="22"/>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 w15:restartNumberingAfterBreak="0">
    <w:nsid w:val="095D65B0"/>
    <w:multiLevelType w:val="multilevel"/>
    <w:tmpl w:val="C4C43A94"/>
    <w:styleLink w:val="1ai"/>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5" w15:restartNumberingAfterBreak="0">
    <w:nsid w:val="09D3132F"/>
    <w:multiLevelType w:val="hybridMultilevel"/>
    <w:tmpl w:val="5F6AD8BC"/>
    <w:lvl w:ilvl="0" w:tplc="095437F0">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6" w15:restartNumberingAfterBreak="0">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7" w15:restartNumberingAfterBreak="0">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8" w15:restartNumberingAfterBreak="0">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9" w15:restartNumberingAfterBreak="0">
    <w:nsid w:val="0F240772"/>
    <w:multiLevelType w:val="hybridMultilevel"/>
    <w:tmpl w:val="DAF463AA"/>
    <w:lvl w:ilvl="0" w:tplc="A3EE4CF6">
      <w:start w:val="2"/>
      <w:numFmt w:val="bullet"/>
      <w:lvlText w:val="–"/>
      <w:lvlJc w:val="left"/>
      <w:pPr>
        <w:ind w:left="1570" w:hanging="360"/>
      </w:pPr>
      <w:rPr>
        <w:rFonts w:ascii="Coronet (W1)" w:eastAsia="Coronet (W1)" w:hAnsi="Coronet (W1)" w:cs="Coronet (W1)"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0" w15:restartNumberingAfterBreak="0">
    <w:nsid w:val="11051DF2"/>
    <w:multiLevelType w:val="hybridMultilevel"/>
    <w:tmpl w:val="EF369A34"/>
    <w:name w:val="AGSClause2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A0B608B"/>
    <w:multiLevelType w:val="hybridMultilevel"/>
    <w:tmpl w:val="E5A6D5F4"/>
    <w:lvl w:ilvl="0" w:tplc="A3EE4CF6">
      <w:start w:val="2"/>
      <w:numFmt w:val="bullet"/>
      <w:lvlText w:val="–"/>
      <w:lvlJc w:val="left"/>
      <w:pPr>
        <w:ind w:left="1440" w:hanging="360"/>
      </w:pPr>
      <w:rPr>
        <w:rFonts w:ascii="Coronet (W1)" w:eastAsia="Coronet (W1)" w:hAnsi="Coronet (W1)" w:cs="Coronet (W1)"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D962AAF"/>
    <w:multiLevelType w:val="hybridMultilevel"/>
    <w:tmpl w:val="56E61482"/>
    <w:name w:val="AGSCorp"/>
    <w:lvl w:ilvl="0" w:tplc="B14E6C48">
      <w:start w:val="109"/>
      <w:numFmt w:val="decimal"/>
      <w:lvlText w:val="%1."/>
      <w:lvlJc w:val="right"/>
      <w:pPr>
        <w:tabs>
          <w:tab w:val="num" w:pos="720"/>
        </w:tabs>
        <w:ind w:left="720" w:hanging="363"/>
      </w:pPr>
      <w:rPr>
        <w:rFonts w:hint="default"/>
      </w:rPr>
    </w:lvl>
    <w:lvl w:ilvl="1" w:tplc="915AAB1A" w:tentative="1">
      <w:start w:val="1"/>
      <w:numFmt w:val="lowerLetter"/>
      <w:lvlText w:val="%2."/>
      <w:lvlJc w:val="left"/>
      <w:pPr>
        <w:tabs>
          <w:tab w:val="num" w:pos="1440"/>
        </w:tabs>
        <w:ind w:left="1440" w:hanging="360"/>
      </w:pPr>
    </w:lvl>
    <w:lvl w:ilvl="2" w:tplc="9110A2E0" w:tentative="1">
      <w:start w:val="1"/>
      <w:numFmt w:val="lowerRoman"/>
      <w:lvlText w:val="%3."/>
      <w:lvlJc w:val="right"/>
      <w:pPr>
        <w:tabs>
          <w:tab w:val="num" w:pos="2160"/>
        </w:tabs>
        <w:ind w:left="2160" w:hanging="180"/>
      </w:pPr>
    </w:lvl>
    <w:lvl w:ilvl="3" w:tplc="0E2E53D4" w:tentative="1">
      <w:start w:val="1"/>
      <w:numFmt w:val="decimal"/>
      <w:lvlText w:val="%4."/>
      <w:lvlJc w:val="left"/>
      <w:pPr>
        <w:tabs>
          <w:tab w:val="num" w:pos="2880"/>
        </w:tabs>
        <w:ind w:left="2880" w:hanging="360"/>
      </w:pPr>
    </w:lvl>
    <w:lvl w:ilvl="4" w:tplc="4E544F48" w:tentative="1">
      <w:start w:val="1"/>
      <w:numFmt w:val="lowerLetter"/>
      <w:lvlText w:val="%5."/>
      <w:lvlJc w:val="left"/>
      <w:pPr>
        <w:tabs>
          <w:tab w:val="num" w:pos="3600"/>
        </w:tabs>
        <w:ind w:left="3600" w:hanging="360"/>
      </w:pPr>
    </w:lvl>
    <w:lvl w:ilvl="5" w:tplc="0F5CA470" w:tentative="1">
      <w:start w:val="1"/>
      <w:numFmt w:val="lowerRoman"/>
      <w:lvlText w:val="%6."/>
      <w:lvlJc w:val="right"/>
      <w:pPr>
        <w:tabs>
          <w:tab w:val="num" w:pos="4320"/>
        </w:tabs>
        <w:ind w:left="4320" w:hanging="180"/>
      </w:pPr>
    </w:lvl>
    <w:lvl w:ilvl="6" w:tplc="046CDCFA" w:tentative="1">
      <w:start w:val="1"/>
      <w:numFmt w:val="decimal"/>
      <w:lvlText w:val="%7."/>
      <w:lvlJc w:val="left"/>
      <w:pPr>
        <w:tabs>
          <w:tab w:val="num" w:pos="5040"/>
        </w:tabs>
        <w:ind w:left="5040" w:hanging="360"/>
      </w:pPr>
    </w:lvl>
    <w:lvl w:ilvl="7" w:tplc="068CA872" w:tentative="1">
      <w:start w:val="1"/>
      <w:numFmt w:val="lowerLetter"/>
      <w:lvlText w:val="%8."/>
      <w:lvlJc w:val="left"/>
      <w:pPr>
        <w:tabs>
          <w:tab w:val="num" w:pos="5760"/>
        </w:tabs>
        <w:ind w:left="5760" w:hanging="360"/>
      </w:pPr>
    </w:lvl>
    <w:lvl w:ilvl="8" w:tplc="AA74C91A" w:tentative="1">
      <w:start w:val="1"/>
      <w:numFmt w:val="lowerRoman"/>
      <w:lvlText w:val="%9."/>
      <w:lvlJc w:val="right"/>
      <w:pPr>
        <w:tabs>
          <w:tab w:val="num" w:pos="6480"/>
        </w:tabs>
        <w:ind w:left="6480" w:hanging="180"/>
      </w:pPr>
    </w:lvl>
  </w:abstractNum>
  <w:abstractNum w:abstractNumId="13"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4"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5" w15:restartNumberingAfterBreak="0">
    <w:nsid w:val="214C1140"/>
    <w:multiLevelType w:val="hybridMultilevel"/>
    <w:tmpl w:val="0958E228"/>
    <w:name w:val="AGSQuote2"/>
    <w:lvl w:ilvl="0" w:tplc="FFFFFFFF">
      <w:start w:val="1"/>
      <w:numFmt w:val="decimal"/>
      <w:lvlText w:val="%1."/>
      <w:lvlJc w:val="left"/>
      <w:pPr>
        <w:tabs>
          <w:tab w:val="num" w:pos="1117"/>
        </w:tabs>
        <w:ind w:left="1117" w:hanging="360"/>
      </w:pPr>
      <w:rPr>
        <w:rFonts w:hint="default"/>
        <w:sz w:val="24"/>
        <w:szCs w:val="22"/>
      </w:rPr>
    </w:lvl>
    <w:lvl w:ilvl="1" w:tplc="FFFFFFFF">
      <w:start w:val="1"/>
      <w:numFmt w:val="decimal"/>
      <w:lvlText w:val="%2."/>
      <w:lvlJc w:val="left"/>
      <w:pPr>
        <w:tabs>
          <w:tab w:val="num" w:pos="1117"/>
        </w:tabs>
        <w:ind w:left="1117" w:hanging="360"/>
      </w:pPr>
      <w:rPr>
        <w:rFonts w:hint="default"/>
        <w:sz w:val="22"/>
        <w:szCs w:val="22"/>
      </w:rPr>
    </w:lvl>
    <w:lvl w:ilvl="2" w:tplc="FFFFFFFF">
      <w:start w:val="1"/>
      <w:numFmt w:val="bullet"/>
      <w:lvlText w:val="–"/>
      <w:lvlJc w:val="left"/>
      <w:pPr>
        <w:tabs>
          <w:tab w:val="num" w:pos="1117"/>
        </w:tabs>
        <w:ind w:left="1117" w:hanging="360"/>
      </w:pPr>
      <w:rPr>
        <w:rFonts w:ascii="Coronet (W1)" w:hAnsi="Coronet (W1)" w:hint="default"/>
        <w:sz w:val="24"/>
        <w:szCs w:val="22"/>
      </w:rPr>
    </w:lvl>
    <w:lvl w:ilvl="3" w:tplc="FFFFFFFF">
      <w:start w:val="1"/>
      <w:numFmt w:val="decimal"/>
      <w:lvlText w:val="(%4)"/>
      <w:lvlJc w:val="left"/>
      <w:pPr>
        <w:tabs>
          <w:tab w:val="num" w:pos="3277"/>
        </w:tabs>
        <w:ind w:left="3277" w:hanging="360"/>
      </w:pPr>
      <w:rPr>
        <w:rFonts w:hint="default"/>
      </w:r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16" w15:restartNumberingAfterBreak="0">
    <w:nsid w:val="22B242CC"/>
    <w:multiLevelType w:val="multilevel"/>
    <w:tmpl w:val="E60E4706"/>
    <w:name w:val="AGSTableList"/>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7" w15:restartNumberingAfterBreak="0">
    <w:nsid w:val="25C53852"/>
    <w:multiLevelType w:val="hybridMultilevel"/>
    <w:tmpl w:val="C53AC504"/>
    <w:name w:val="AGSTableDash"/>
    <w:lvl w:ilvl="0" w:tplc="394C9736">
      <w:start w:val="1"/>
      <w:numFmt w:val="bullet"/>
      <w:lvlText w:val="–"/>
      <w:lvlJc w:val="left"/>
      <w:pPr>
        <w:tabs>
          <w:tab w:val="num" w:pos="757"/>
        </w:tabs>
        <w:ind w:left="757" w:hanging="360"/>
      </w:pPr>
      <w:rPr>
        <w:rFonts w:ascii="Coronet (W1)" w:hAnsi="Coronet (W1)" w:hint="default"/>
        <w:sz w:val="24"/>
      </w:rPr>
    </w:lvl>
    <w:lvl w:ilvl="1" w:tplc="6ECAA544" w:tentative="1">
      <w:start w:val="1"/>
      <w:numFmt w:val="bullet"/>
      <w:lvlText w:val="o"/>
      <w:lvlJc w:val="left"/>
      <w:pPr>
        <w:tabs>
          <w:tab w:val="num" w:pos="1440"/>
        </w:tabs>
        <w:ind w:left="1440" w:hanging="360"/>
      </w:pPr>
      <w:rPr>
        <w:rFonts w:ascii="Courier New" w:hAnsi="Courier New" w:cs="Courier New" w:hint="default"/>
      </w:rPr>
    </w:lvl>
    <w:lvl w:ilvl="2" w:tplc="A4341170" w:tentative="1">
      <w:start w:val="1"/>
      <w:numFmt w:val="bullet"/>
      <w:lvlText w:val=""/>
      <w:lvlJc w:val="left"/>
      <w:pPr>
        <w:tabs>
          <w:tab w:val="num" w:pos="2160"/>
        </w:tabs>
        <w:ind w:left="2160" w:hanging="360"/>
      </w:pPr>
      <w:rPr>
        <w:rFonts w:ascii="Wingdings" w:hAnsi="Wingdings" w:hint="default"/>
      </w:rPr>
    </w:lvl>
    <w:lvl w:ilvl="3" w:tplc="7CBCAAD0" w:tentative="1">
      <w:start w:val="1"/>
      <w:numFmt w:val="bullet"/>
      <w:lvlText w:val=""/>
      <w:lvlJc w:val="left"/>
      <w:pPr>
        <w:tabs>
          <w:tab w:val="num" w:pos="2880"/>
        </w:tabs>
        <w:ind w:left="2880" w:hanging="360"/>
      </w:pPr>
      <w:rPr>
        <w:rFonts w:ascii="Symbol" w:hAnsi="Symbol" w:hint="default"/>
      </w:rPr>
    </w:lvl>
    <w:lvl w:ilvl="4" w:tplc="5A9EB2A2" w:tentative="1">
      <w:start w:val="1"/>
      <w:numFmt w:val="bullet"/>
      <w:lvlText w:val="o"/>
      <w:lvlJc w:val="left"/>
      <w:pPr>
        <w:tabs>
          <w:tab w:val="num" w:pos="3600"/>
        </w:tabs>
        <w:ind w:left="3600" w:hanging="360"/>
      </w:pPr>
      <w:rPr>
        <w:rFonts w:ascii="Courier New" w:hAnsi="Courier New" w:cs="Courier New" w:hint="default"/>
      </w:rPr>
    </w:lvl>
    <w:lvl w:ilvl="5" w:tplc="9E58442A" w:tentative="1">
      <w:start w:val="1"/>
      <w:numFmt w:val="bullet"/>
      <w:lvlText w:val=""/>
      <w:lvlJc w:val="left"/>
      <w:pPr>
        <w:tabs>
          <w:tab w:val="num" w:pos="4320"/>
        </w:tabs>
        <w:ind w:left="4320" w:hanging="360"/>
      </w:pPr>
      <w:rPr>
        <w:rFonts w:ascii="Wingdings" w:hAnsi="Wingdings" w:hint="default"/>
      </w:rPr>
    </w:lvl>
    <w:lvl w:ilvl="6" w:tplc="9550A6F6" w:tentative="1">
      <w:start w:val="1"/>
      <w:numFmt w:val="bullet"/>
      <w:lvlText w:val=""/>
      <w:lvlJc w:val="left"/>
      <w:pPr>
        <w:tabs>
          <w:tab w:val="num" w:pos="5040"/>
        </w:tabs>
        <w:ind w:left="5040" w:hanging="360"/>
      </w:pPr>
      <w:rPr>
        <w:rFonts w:ascii="Symbol" w:hAnsi="Symbol" w:hint="default"/>
      </w:rPr>
    </w:lvl>
    <w:lvl w:ilvl="7" w:tplc="A0D0F202" w:tentative="1">
      <w:start w:val="1"/>
      <w:numFmt w:val="bullet"/>
      <w:lvlText w:val="o"/>
      <w:lvlJc w:val="left"/>
      <w:pPr>
        <w:tabs>
          <w:tab w:val="num" w:pos="5760"/>
        </w:tabs>
        <w:ind w:left="5760" w:hanging="360"/>
      </w:pPr>
      <w:rPr>
        <w:rFonts w:ascii="Courier New" w:hAnsi="Courier New" w:cs="Courier New" w:hint="default"/>
      </w:rPr>
    </w:lvl>
    <w:lvl w:ilvl="8" w:tplc="CA14D6D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9" w15:restartNumberingAfterBreak="0">
    <w:nsid w:val="27301A22"/>
    <w:multiLevelType w:val="hybridMultilevel"/>
    <w:tmpl w:val="02DE81CC"/>
    <w:lvl w:ilvl="0" w:tplc="55B0B256">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0" w15:restartNumberingAfterBreak="0">
    <w:nsid w:val="285462F4"/>
    <w:multiLevelType w:val="multilevel"/>
    <w:tmpl w:val="BFA4A1DC"/>
    <w:name w:val="AGSHang"/>
    <w:lvl w:ilvl="0">
      <w:start w:val="1"/>
      <w:numFmt w:val="decimal"/>
      <w:lvlText w:val="%1."/>
      <w:lvlJc w:val="left"/>
      <w:pPr>
        <w:tabs>
          <w:tab w:val="num" w:pos="720"/>
        </w:tabs>
        <w:ind w:left="720" w:hanging="720"/>
      </w:pPr>
      <w:rPr>
        <w:rFonts w:ascii="Arial" w:hAnsi="Arial" w:hint="default"/>
        <w:sz w:val="22"/>
        <w:szCs w:val="22"/>
      </w:rPr>
    </w:lvl>
    <w:lvl w:ilvl="1">
      <w:start w:val="1"/>
      <w:numFmt w:val="decimal"/>
      <w:lvlText w:val="%2."/>
      <w:lvlJc w:val="left"/>
      <w:pPr>
        <w:tabs>
          <w:tab w:val="num" w:pos="360"/>
        </w:tabs>
        <w:ind w:left="360" w:hanging="360"/>
      </w:pPr>
      <w:rPr>
        <w:rFonts w:hint="default"/>
        <w:sz w:val="22"/>
        <w:szCs w:val="22"/>
      </w:rPr>
    </w:lvl>
    <w:lvl w:ilvl="2">
      <w:start w:val="1"/>
      <w:numFmt w:val="bullet"/>
      <w:lvlText w:val=""/>
      <w:lvlJc w:val="left"/>
      <w:pPr>
        <w:tabs>
          <w:tab w:val="num" w:pos="576"/>
        </w:tabs>
        <w:ind w:left="576" w:hanging="576"/>
      </w:pPr>
      <w:rPr>
        <w:rFonts w:ascii="Symbol" w:hAnsi="Symbol" w:hint="default"/>
        <w:color w:val="auto"/>
        <w:sz w:val="16"/>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2"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3"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4" w15:restartNumberingAfterBreak="0">
    <w:nsid w:val="42B85A5E"/>
    <w:multiLevelType w:val="hybridMultilevel"/>
    <w:tmpl w:val="0582AD74"/>
    <w:name w:val="AGSTableHang"/>
    <w:lvl w:ilvl="0" w:tplc="005C39B6">
      <w:start w:val="2"/>
      <w:numFmt w:val="bullet"/>
      <w:lvlText w:val="–"/>
      <w:lvlJc w:val="left"/>
      <w:pPr>
        <w:tabs>
          <w:tab w:val="num" w:pos="720"/>
        </w:tabs>
        <w:ind w:left="720" w:hanging="360"/>
      </w:pPr>
      <w:rPr>
        <w:rFonts w:ascii="Arial" w:eastAsia="Times New Roman" w:hAnsi="Arial" w:cs="Arial" w:hint="default"/>
      </w:rPr>
    </w:lvl>
    <w:lvl w:ilvl="1" w:tplc="5F469F24" w:tentative="1">
      <w:start w:val="1"/>
      <w:numFmt w:val="bullet"/>
      <w:lvlText w:val="o"/>
      <w:lvlJc w:val="left"/>
      <w:pPr>
        <w:tabs>
          <w:tab w:val="num" w:pos="1440"/>
        </w:tabs>
        <w:ind w:left="1440" w:hanging="360"/>
      </w:pPr>
      <w:rPr>
        <w:rFonts w:ascii="Courier New" w:hAnsi="Courier New" w:cs="Courier New" w:hint="default"/>
      </w:rPr>
    </w:lvl>
    <w:lvl w:ilvl="2" w:tplc="BA1C57AC" w:tentative="1">
      <w:start w:val="1"/>
      <w:numFmt w:val="bullet"/>
      <w:lvlText w:val=""/>
      <w:lvlJc w:val="left"/>
      <w:pPr>
        <w:tabs>
          <w:tab w:val="num" w:pos="2160"/>
        </w:tabs>
        <w:ind w:left="2160" w:hanging="360"/>
      </w:pPr>
      <w:rPr>
        <w:rFonts w:ascii="Wingdings" w:hAnsi="Wingdings" w:hint="default"/>
      </w:rPr>
    </w:lvl>
    <w:lvl w:ilvl="3" w:tplc="EBF6BAA2" w:tentative="1">
      <w:start w:val="1"/>
      <w:numFmt w:val="bullet"/>
      <w:lvlText w:val=""/>
      <w:lvlJc w:val="left"/>
      <w:pPr>
        <w:tabs>
          <w:tab w:val="num" w:pos="2880"/>
        </w:tabs>
        <w:ind w:left="2880" w:hanging="360"/>
      </w:pPr>
      <w:rPr>
        <w:rFonts w:ascii="Symbol" w:hAnsi="Symbol" w:hint="default"/>
      </w:rPr>
    </w:lvl>
    <w:lvl w:ilvl="4" w:tplc="77AC5D12" w:tentative="1">
      <w:start w:val="1"/>
      <w:numFmt w:val="bullet"/>
      <w:lvlText w:val="o"/>
      <w:lvlJc w:val="left"/>
      <w:pPr>
        <w:tabs>
          <w:tab w:val="num" w:pos="3600"/>
        </w:tabs>
        <w:ind w:left="3600" w:hanging="360"/>
      </w:pPr>
      <w:rPr>
        <w:rFonts w:ascii="Courier New" w:hAnsi="Courier New" w:cs="Courier New" w:hint="default"/>
      </w:rPr>
    </w:lvl>
    <w:lvl w:ilvl="5" w:tplc="13B68636" w:tentative="1">
      <w:start w:val="1"/>
      <w:numFmt w:val="bullet"/>
      <w:lvlText w:val=""/>
      <w:lvlJc w:val="left"/>
      <w:pPr>
        <w:tabs>
          <w:tab w:val="num" w:pos="4320"/>
        </w:tabs>
        <w:ind w:left="4320" w:hanging="360"/>
      </w:pPr>
      <w:rPr>
        <w:rFonts w:ascii="Wingdings" w:hAnsi="Wingdings" w:hint="default"/>
      </w:rPr>
    </w:lvl>
    <w:lvl w:ilvl="6" w:tplc="4142D8DE" w:tentative="1">
      <w:start w:val="1"/>
      <w:numFmt w:val="bullet"/>
      <w:lvlText w:val=""/>
      <w:lvlJc w:val="left"/>
      <w:pPr>
        <w:tabs>
          <w:tab w:val="num" w:pos="5040"/>
        </w:tabs>
        <w:ind w:left="5040" w:hanging="360"/>
      </w:pPr>
      <w:rPr>
        <w:rFonts w:ascii="Symbol" w:hAnsi="Symbol" w:hint="default"/>
      </w:rPr>
    </w:lvl>
    <w:lvl w:ilvl="7" w:tplc="40E044E6" w:tentative="1">
      <w:start w:val="1"/>
      <w:numFmt w:val="bullet"/>
      <w:lvlText w:val="o"/>
      <w:lvlJc w:val="left"/>
      <w:pPr>
        <w:tabs>
          <w:tab w:val="num" w:pos="5760"/>
        </w:tabs>
        <w:ind w:left="5760" w:hanging="360"/>
      </w:pPr>
      <w:rPr>
        <w:rFonts w:ascii="Courier New" w:hAnsi="Courier New" w:cs="Courier New" w:hint="default"/>
      </w:rPr>
    </w:lvl>
    <w:lvl w:ilvl="8" w:tplc="7700B2E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96C82"/>
    <w:multiLevelType w:val="multilevel"/>
    <w:tmpl w:val="AFE0A28C"/>
    <w:name w:val="AGSAlpha"/>
    <w:styleLink w:val="111111"/>
    <w:lvl w:ilvl="0">
      <w:start w:val="1"/>
      <w:numFmt w:val="decimal"/>
      <w:lvlText w:val="%1."/>
      <w:lvlJc w:val="left"/>
      <w:pPr>
        <w:tabs>
          <w:tab w:val="num" w:pos="360"/>
        </w:tabs>
        <w:ind w:left="360" w:hanging="360"/>
      </w:pPr>
      <w:rPr>
        <w:rFonts w:ascii="Arial" w:hAnsi="Arial" w:cs="Arial"/>
        <w:sz w:val="22"/>
      </w:rPr>
    </w:lvl>
    <w:lvl w:ilvl="1">
      <w:start w:val="1"/>
      <w:numFmt w:val="decimal"/>
      <w:lvlText w:val="%1.%2."/>
      <w:lvlJc w:val="left"/>
      <w:pPr>
        <w:tabs>
          <w:tab w:val="num" w:pos="792"/>
        </w:tabs>
        <w:ind w:left="792" w:hanging="432"/>
      </w:pPr>
      <w:rPr>
        <w:rFonts w:ascii="Arial" w:hAnsi="Arial" w:cs="Arial"/>
        <w:sz w:val="22"/>
      </w:rPr>
    </w:lvl>
    <w:lvl w:ilvl="2">
      <w:start w:val="1"/>
      <w:numFmt w:val="decimal"/>
      <w:lvlText w:val="%1.%2.%3."/>
      <w:lvlJc w:val="left"/>
      <w:pPr>
        <w:tabs>
          <w:tab w:val="num" w:pos="1440"/>
        </w:tabs>
        <w:ind w:left="1224" w:hanging="504"/>
      </w:pPr>
      <w:rPr>
        <w:rFonts w:ascii="Arial" w:hAnsi="Arial" w:cs="Arial"/>
        <w:sz w:val="22"/>
      </w:rPr>
    </w:lvl>
    <w:lvl w:ilvl="3">
      <w:start w:val="1"/>
      <w:numFmt w:val="decimal"/>
      <w:lvlText w:val="%1.%2.%3.%4."/>
      <w:lvlJc w:val="left"/>
      <w:pPr>
        <w:tabs>
          <w:tab w:val="num" w:pos="2160"/>
        </w:tabs>
        <w:ind w:left="1728" w:hanging="648"/>
      </w:pPr>
      <w:rPr>
        <w:rFonts w:ascii="Arial" w:hAnsi="Arial" w:cs="Arial"/>
        <w:sz w:val="22"/>
      </w:rPr>
    </w:lvl>
    <w:lvl w:ilvl="4">
      <w:start w:val="1"/>
      <w:numFmt w:val="decimal"/>
      <w:lvlText w:val="%1.%2.%3.%4.%5."/>
      <w:lvlJc w:val="left"/>
      <w:pPr>
        <w:tabs>
          <w:tab w:val="num" w:pos="2520"/>
        </w:tabs>
        <w:ind w:left="2232" w:hanging="792"/>
      </w:pPr>
      <w:rPr>
        <w:rFonts w:ascii="Arial" w:hAnsi="Arial" w:cs="Arial"/>
        <w:sz w:val="22"/>
      </w:rPr>
    </w:lvl>
    <w:lvl w:ilvl="5">
      <w:start w:val="1"/>
      <w:numFmt w:val="decimal"/>
      <w:lvlText w:val="%1.%2.%3.%4.%5.%6."/>
      <w:lvlJc w:val="left"/>
      <w:pPr>
        <w:tabs>
          <w:tab w:val="num" w:pos="3240"/>
        </w:tabs>
        <w:ind w:left="2736" w:hanging="936"/>
      </w:pPr>
      <w:rPr>
        <w:rFonts w:ascii="Arial" w:hAnsi="Arial" w:cs="Arial"/>
        <w:sz w:val="22"/>
      </w:rPr>
    </w:lvl>
    <w:lvl w:ilvl="6">
      <w:start w:val="1"/>
      <w:numFmt w:val="decimal"/>
      <w:lvlText w:val="%1.%2.%3.%4.%5.%6.%7."/>
      <w:lvlJc w:val="left"/>
      <w:pPr>
        <w:tabs>
          <w:tab w:val="num" w:pos="3600"/>
        </w:tabs>
        <w:ind w:left="3240" w:hanging="1080"/>
      </w:pPr>
      <w:rPr>
        <w:rFonts w:ascii="Arial" w:hAnsi="Arial" w:cs="Arial"/>
        <w:sz w:val="22"/>
      </w:rPr>
    </w:lvl>
    <w:lvl w:ilvl="7">
      <w:start w:val="1"/>
      <w:numFmt w:val="decimal"/>
      <w:lvlText w:val="%1.%2.%3.%4.%5.%6.%7.%8."/>
      <w:lvlJc w:val="left"/>
      <w:pPr>
        <w:tabs>
          <w:tab w:val="num" w:pos="4320"/>
        </w:tabs>
        <w:ind w:left="3744" w:hanging="1224"/>
      </w:pPr>
      <w:rPr>
        <w:rFonts w:ascii="Arial" w:hAnsi="Arial" w:cs="Arial"/>
        <w:sz w:val="22"/>
      </w:rPr>
    </w:lvl>
    <w:lvl w:ilvl="8">
      <w:start w:val="1"/>
      <w:numFmt w:val="decimal"/>
      <w:lvlText w:val="%1.%2.%3.%4.%5.%6.%7.%8.%9."/>
      <w:lvlJc w:val="left"/>
      <w:pPr>
        <w:tabs>
          <w:tab w:val="num" w:pos="5040"/>
        </w:tabs>
        <w:ind w:left="4320" w:hanging="1440"/>
      </w:pPr>
      <w:rPr>
        <w:rFonts w:ascii="Arial" w:hAnsi="Arial" w:cs="Arial"/>
        <w:sz w:val="22"/>
      </w:rPr>
    </w:lvl>
  </w:abstractNum>
  <w:abstractNum w:abstractNumId="26" w15:restartNumberingAfterBreak="0">
    <w:nsid w:val="47E727A0"/>
    <w:multiLevelType w:val="hybridMultilevel"/>
    <w:tmpl w:val="523409E6"/>
    <w:name w:val="AGSClause"/>
    <w:lvl w:ilvl="0" w:tplc="3D343FA4">
      <w:start w:val="1"/>
      <w:numFmt w:val="decimal"/>
      <w:pStyle w:val="Keryl"/>
      <w:lvlText w:val="%1."/>
      <w:lvlJc w:val="left"/>
      <w:pPr>
        <w:tabs>
          <w:tab w:val="num" w:pos="720"/>
        </w:tabs>
        <w:ind w:left="927" w:hanging="567"/>
      </w:pPr>
      <w:rPr>
        <w:rFonts w:hint="default"/>
        <w:b w:val="0"/>
      </w:rPr>
    </w:lvl>
    <w:lvl w:ilvl="1" w:tplc="CBFACFB4">
      <w:start w:val="1"/>
      <w:numFmt w:val="lowerLetter"/>
      <w:lvlText w:val="%2."/>
      <w:lvlJc w:val="left"/>
      <w:pPr>
        <w:tabs>
          <w:tab w:val="num" w:pos="1440"/>
        </w:tabs>
        <w:ind w:left="1440" w:hanging="360"/>
      </w:pPr>
    </w:lvl>
    <w:lvl w:ilvl="2" w:tplc="C4C2BEF0">
      <w:start w:val="1"/>
      <w:numFmt w:val="lowerRoman"/>
      <w:lvlText w:val="%3."/>
      <w:lvlJc w:val="right"/>
      <w:pPr>
        <w:tabs>
          <w:tab w:val="num" w:pos="2160"/>
        </w:tabs>
        <w:ind w:left="2160" w:hanging="180"/>
      </w:pPr>
      <w:rPr>
        <w:rFonts w:hint="default"/>
        <w:b w:val="0"/>
      </w:rPr>
    </w:lvl>
    <w:lvl w:ilvl="3" w:tplc="AA44723C" w:tentative="1">
      <w:start w:val="1"/>
      <w:numFmt w:val="decimal"/>
      <w:lvlText w:val="%4."/>
      <w:lvlJc w:val="left"/>
      <w:pPr>
        <w:tabs>
          <w:tab w:val="num" w:pos="2880"/>
        </w:tabs>
        <w:ind w:left="2880" w:hanging="360"/>
      </w:pPr>
    </w:lvl>
    <w:lvl w:ilvl="4" w:tplc="C66CC248" w:tentative="1">
      <w:start w:val="1"/>
      <w:numFmt w:val="lowerLetter"/>
      <w:lvlText w:val="%5."/>
      <w:lvlJc w:val="left"/>
      <w:pPr>
        <w:tabs>
          <w:tab w:val="num" w:pos="3600"/>
        </w:tabs>
        <w:ind w:left="3600" w:hanging="360"/>
      </w:pPr>
    </w:lvl>
    <w:lvl w:ilvl="5" w:tplc="BDB68D9E" w:tentative="1">
      <w:start w:val="1"/>
      <w:numFmt w:val="lowerRoman"/>
      <w:lvlText w:val="%6."/>
      <w:lvlJc w:val="right"/>
      <w:pPr>
        <w:tabs>
          <w:tab w:val="num" w:pos="4320"/>
        </w:tabs>
        <w:ind w:left="4320" w:hanging="180"/>
      </w:pPr>
    </w:lvl>
    <w:lvl w:ilvl="6" w:tplc="7DFCA182" w:tentative="1">
      <w:start w:val="1"/>
      <w:numFmt w:val="decimal"/>
      <w:lvlText w:val="%7."/>
      <w:lvlJc w:val="left"/>
      <w:pPr>
        <w:tabs>
          <w:tab w:val="num" w:pos="5040"/>
        </w:tabs>
        <w:ind w:left="5040" w:hanging="360"/>
      </w:pPr>
    </w:lvl>
    <w:lvl w:ilvl="7" w:tplc="8CA04666" w:tentative="1">
      <w:start w:val="1"/>
      <w:numFmt w:val="lowerLetter"/>
      <w:lvlText w:val="%8."/>
      <w:lvlJc w:val="left"/>
      <w:pPr>
        <w:tabs>
          <w:tab w:val="num" w:pos="5760"/>
        </w:tabs>
        <w:ind w:left="5760" w:hanging="360"/>
      </w:pPr>
    </w:lvl>
    <w:lvl w:ilvl="8" w:tplc="03763394" w:tentative="1">
      <w:start w:val="1"/>
      <w:numFmt w:val="lowerRoman"/>
      <w:lvlText w:val="%9."/>
      <w:lvlJc w:val="right"/>
      <w:pPr>
        <w:tabs>
          <w:tab w:val="num" w:pos="6480"/>
        </w:tabs>
        <w:ind w:left="6480" w:hanging="180"/>
      </w:pPr>
    </w:lvl>
  </w:abstractNum>
  <w:abstractNum w:abstractNumId="27" w15:restartNumberingAfterBreak="0">
    <w:nsid w:val="4B9A0695"/>
    <w:multiLevelType w:val="hybridMultilevel"/>
    <w:tmpl w:val="A2A29D3C"/>
    <w:lvl w:ilvl="0" w:tplc="E5EE698C">
      <w:start w:val="1"/>
      <w:numFmt w:val="bullet"/>
      <w:lvlText w:val="–"/>
      <w:lvlJc w:val="left"/>
      <w:pPr>
        <w:tabs>
          <w:tab w:val="num" w:pos="1210"/>
        </w:tabs>
        <w:ind w:left="1210" w:hanging="360"/>
      </w:pPr>
      <w:rPr>
        <w:rFonts w:ascii="Coronet (W1)" w:hAnsi="Coronet (W1)" w:hint="default"/>
        <w:sz w:val="24"/>
        <w:szCs w:val="22"/>
      </w:rPr>
    </w:lvl>
    <w:lvl w:ilvl="1" w:tplc="F558B176">
      <w:start w:val="1"/>
      <w:numFmt w:val="decimal"/>
      <w:lvlText w:val="%2."/>
      <w:lvlJc w:val="left"/>
      <w:pPr>
        <w:tabs>
          <w:tab w:val="num" w:pos="1210"/>
        </w:tabs>
        <w:ind w:left="1210" w:hanging="360"/>
      </w:pPr>
      <w:rPr>
        <w:rFonts w:hint="default"/>
        <w:sz w:val="22"/>
        <w:szCs w:val="22"/>
      </w:rPr>
    </w:lvl>
    <w:lvl w:ilvl="2" w:tplc="0C09001B">
      <w:start w:val="1"/>
      <w:numFmt w:val="bullet"/>
      <w:lvlText w:val=""/>
      <w:lvlJc w:val="left"/>
      <w:pPr>
        <w:tabs>
          <w:tab w:val="num" w:pos="1426"/>
        </w:tabs>
        <w:ind w:left="1426" w:hanging="576"/>
      </w:pPr>
      <w:rPr>
        <w:rFonts w:ascii="Symbol" w:hAnsi="Symbol" w:hint="default"/>
        <w:color w:val="auto"/>
        <w:sz w:val="16"/>
        <w:szCs w:val="22"/>
      </w:rPr>
    </w:lvl>
    <w:lvl w:ilvl="3" w:tplc="0C09000F">
      <w:start w:val="1"/>
      <w:numFmt w:val="decimal"/>
      <w:lvlText w:val="(%4)"/>
      <w:lvlJc w:val="left"/>
      <w:pPr>
        <w:tabs>
          <w:tab w:val="num" w:pos="3370"/>
        </w:tabs>
        <w:ind w:left="3370" w:hanging="360"/>
      </w:pPr>
      <w:rPr>
        <w:rFonts w:hint="default"/>
      </w:rPr>
    </w:lvl>
    <w:lvl w:ilvl="4" w:tplc="0C090019" w:tentative="1">
      <w:start w:val="1"/>
      <w:numFmt w:val="lowerLetter"/>
      <w:lvlText w:val="%5."/>
      <w:lvlJc w:val="left"/>
      <w:pPr>
        <w:tabs>
          <w:tab w:val="num" w:pos="4090"/>
        </w:tabs>
        <w:ind w:left="4090" w:hanging="360"/>
      </w:pPr>
    </w:lvl>
    <w:lvl w:ilvl="5" w:tplc="0C09001B" w:tentative="1">
      <w:start w:val="1"/>
      <w:numFmt w:val="lowerRoman"/>
      <w:lvlText w:val="%6."/>
      <w:lvlJc w:val="right"/>
      <w:pPr>
        <w:tabs>
          <w:tab w:val="num" w:pos="4810"/>
        </w:tabs>
        <w:ind w:left="4810" w:hanging="180"/>
      </w:pPr>
    </w:lvl>
    <w:lvl w:ilvl="6" w:tplc="0C09000F" w:tentative="1">
      <w:start w:val="1"/>
      <w:numFmt w:val="decimal"/>
      <w:lvlText w:val="%7."/>
      <w:lvlJc w:val="left"/>
      <w:pPr>
        <w:tabs>
          <w:tab w:val="num" w:pos="5530"/>
        </w:tabs>
        <w:ind w:left="5530" w:hanging="360"/>
      </w:pPr>
    </w:lvl>
    <w:lvl w:ilvl="7" w:tplc="0C090019" w:tentative="1">
      <w:start w:val="1"/>
      <w:numFmt w:val="lowerLetter"/>
      <w:lvlText w:val="%8."/>
      <w:lvlJc w:val="left"/>
      <w:pPr>
        <w:tabs>
          <w:tab w:val="num" w:pos="6250"/>
        </w:tabs>
        <w:ind w:left="6250" w:hanging="360"/>
      </w:pPr>
    </w:lvl>
    <w:lvl w:ilvl="8" w:tplc="0C09001B" w:tentative="1">
      <w:start w:val="1"/>
      <w:numFmt w:val="lowerRoman"/>
      <w:lvlText w:val="%9."/>
      <w:lvlJc w:val="right"/>
      <w:pPr>
        <w:tabs>
          <w:tab w:val="num" w:pos="6970"/>
        </w:tabs>
        <w:ind w:left="6970" w:hanging="180"/>
      </w:pPr>
    </w:lvl>
  </w:abstractNum>
  <w:abstractNum w:abstractNumId="28" w15:restartNumberingAfterBreak="0">
    <w:nsid w:val="4BE67C3B"/>
    <w:multiLevelType w:val="hybridMultilevel"/>
    <w:tmpl w:val="76005960"/>
    <w:lvl w:ilvl="0" w:tplc="1228C6EE">
      <w:start w:val="1"/>
      <w:numFmt w:val="decimal"/>
      <w:lvlText w:val="%1."/>
      <w:lvlJc w:val="left"/>
      <w:pPr>
        <w:tabs>
          <w:tab w:val="num" w:pos="720"/>
        </w:tabs>
        <w:ind w:left="720" w:hanging="720"/>
      </w:pPr>
      <w:rPr>
        <w:rFonts w:ascii="Arial" w:hAnsi="Arial" w:hint="default"/>
        <w:i w:val="0"/>
        <w:sz w:val="22"/>
        <w:szCs w:val="22"/>
      </w:rPr>
    </w:lvl>
    <w:lvl w:ilvl="1" w:tplc="0C090019">
      <w:start w:val="1"/>
      <w:numFmt w:val="lowerLetter"/>
      <w:lvlText w:val="%2."/>
      <w:lvlJc w:val="left"/>
      <w:pPr>
        <w:ind w:left="1440" w:hanging="360"/>
      </w:pPr>
    </w:lvl>
    <w:lvl w:ilvl="2" w:tplc="508ED7F0">
      <w:start w:val="1"/>
      <w:numFmt w:val="lowerRoman"/>
      <w:lvlText w:val="%3."/>
      <w:lvlJc w:val="right"/>
      <w:pPr>
        <w:ind w:left="2160" w:hanging="180"/>
      </w:pPr>
      <w:rPr>
        <w:b w:val="0"/>
      </w:rPr>
    </w:lvl>
    <w:lvl w:ilvl="3" w:tplc="F558B176">
      <w:start w:val="1"/>
      <w:numFmt w:val="decimal"/>
      <w:lvlText w:val="%4."/>
      <w:lvlJc w:val="left"/>
      <w:pPr>
        <w:ind w:left="2880" w:hanging="360"/>
      </w:pPr>
      <w:rPr>
        <w:rFonts w:ascii="Arial" w:hAnsi="Arial" w:hint="default"/>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E46962"/>
    <w:multiLevelType w:val="hybridMultilevel"/>
    <w:tmpl w:val="D7DA6C78"/>
    <w:lvl w:ilvl="0" w:tplc="A3EE4CF6">
      <w:start w:val="2"/>
      <w:numFmt w:val="bullet"/>
      <w:lvlText w:val="–"/>
      <w:lvlJc w:val="left"/>
      <w:pPr>
        <w:tabs>
          <w:tab w:val="num" w:pos="1133"/>
        </w:tabs>
        <w:ind w:left="1173" w:hanging="323"/>
      </w:pPr>
      <w:rPr>
        <w:rFonts w:ascii="Coronet (W1)" w:eastAsia="Coronet (W1)" w:hAnsi="Coronet (W1)" w:cs="Coronet (W1)" w:hint="default"/>
      </w:rPr>
    </w:lvl>
    <w:lvl w:ilvl="1" w:tplc="0C090003">
      <w:start w:val="2"/>
      <w:numFmt w:val="lowerLetter"/>
      <w:lvlText w:val="%2."/>
      <w:lvlJc w:val="left"/>
      <w:pPr>
        <w:tabs>
          <w:tab w:val="num" w:pos="2253"/>
        </w:tabs>
        <w:ind w:left="2253" w:hanging="720"/>
      </w:pPr>
      <w:rPr>
        <w:rFonts w:ascii="Arial" w:hAnsi="Arial" w:hint="default"/>
        <w:b w:val="0"/>
        <w:i w:val="0"/>
        <w:sz w:val="22"/>
      </w:rPr>
    </w:lvl>
    <w:lvl w:ilvl="2" w:tplc="0C090005">
      <w:start w:val="1"/>
      <w:numFmt w:val="bullet"/>
      <w:lvlText w:val=""/>
      <w:lvlJc w:val="left"/>
      <w:pPr>
        <w:tabs>
          <w:tab w:val="num" w:pos="2613"/>
        </w:tabs>
        <w:ind w:left="2613" w:hanging="360"/>
      </w:pPr>
      <w:rPr>
        <w:rFonts w:ascii="Wingdings" w:hAnsi="Wingdings" w:hint="default"/>
      </w:rPr>
    </w:lvl>
    <w:lvl w:ilvl="3" w:tplc="0C090001">
      <w:start w:val="1"/>
      <w:numFmt w:val="decimal"/>
      <w:lvlText w:val="%4."/>
      <w:lvlJc w:val="left"/>
      <w:pPr>
        <w:tabs>
          <w:tab w:val="num" w:pos="3333"/>
        </w:tabs>
        <w:ind w:left="3333" w:hanging="360"/>
      </w:pPr>
      <w:rPr>
        <w:rFonts w:hint="default"/>
      </w:rPr>
    </w:lvl>
    <w:lvl w:ilvl="4" w:tplc="0C090003" w:tentative="1">
      <w:start w:val="1"/>
      <w:numFmt w:val="bullet"/>
      <w:lvlText w:val="o"/>
      <w:lvlJc w:val="left"/>
      <w:pPr>
        <w:tabs>
          <w:tab w:val="num" w:pos="4053"/>
        </w:tabs>
        <w:ind w:left="4053" w:hanging="360"/>
      </w:pPr>
      <w:rPr>
        <w:rFonts w:ascii="Courier New" w:hAnsi="Courier New" w:cs="Courier New" w:hint="default"/>
      </w:rPr>
    </w:lvl>
    <w:lvl w:ilvl="5" w:tplc="0C090005" w:tentative="1">
      <w:start w:val="1"/>
      <w:numFmt w:val="bullet"/>
      <w:lvlText w:val=""/>
      <w:lvlJc w:val="left"/>
      <w:pPr>
        <w:tabs>
          <w:tab w:val="num" w:pos="4773"/>
        </w:tabs>
        <w:ind w:left="4773" w:hanging="360"/>
      </w:pPr>
      <w:rPr>
        <w:rFonts w:ascii="Wingdings" w:hAnsi="Wingdings" w:hint="default"/>
      </w:rPr>
    </w:lvl>
    <w:lvl w:ilvl="6" w:tplc="0C090001" w:tentative="1">
      <w:start w:val="1"/>
      <w:numFmt w:val="bullet"/>
      <w:lvlText w:val=""/>
      <w:lvlJc w:val="left"/>
      <w:pPr>
        <w:tabs>
          <w:tab w:val="num" w:pos="5493"/>
        </w:tabs>
        <w:ind w:left="5493" w:hanging="360"/>
      </w:pPr>
      <w:rPr>
        <w:rFonts w:ascii="Symbol" w:hAnsi="Symbol" w:hint="default"/>
      </w:rPr>
    </w:lvl>
    <w:lvl w:ilvl="7" w:tplc="0C090003" w:tentative="1">
      <w:start w:val="1"/>
      <w:numFmt w:val="bullet"/>
      <w:lvlText w:val="o"/>
      <w:lvlJc w:val="left"/>
      <w:pPr>
        <w:tabs>
          <w:tab w:val="num" w:pos="6213"/>
        </w:tabs>
        <w:ind w:left="6213" w:hanging="360"/>
      </w:pPr>
      <w:rPr>
        <w:rFonts w:ascii="Courier New" w:hAnsi="Courier New" w:cs="Courier New" w:hint="default"/>
      </w:rPr>
    </w:lvl>
    <w:lvl w:ilvl="8" w:tplc="0C090005" w:tentative="1">
      <w:start w:val="1"/>
      <w:numFmt w:val="bullet"/>
      <w:lvlText w:val=""/>
      <w:lvlJc w:val="left"/>
      <w:pPr>
        <w:tabs>
          <w:tab w:val="num" w:pos="6933"/>
        </w:tabs>
        <w:ind w:left="6933" w:hanging="360"/>
      </w:pPr>
      <w:rPr>
        <w:rFonts w:ascii="Wingdings" w:hAnsi="Wingdings" w:hint="default"/>
      </w:rPr>
    </w:lvl>
  </w:abstractNum>
  <w:abstractNum w:abstractNumId="30" w15:restartNumberingAfterBreak="0">
    <w:nsid w:val="4FE24DAC"/>
    <w:multiLevelType w:val="hybridMultilevel"/>
    <w:tmpl w:val="FECA1CAC"/>
    <w:name w:val="AGSSchedule"/>
    <w:lvl w:ilvl="0" w:tplc="FFFFFFFF">
      <w:start w:val="1"/>
      <w:numFmt w:val="bullet"/>
      <w:lvlText w:val=""/>
      <w:lvlJc w:val="left"/>
      <w:pPr>
        <w:tabs>
          <w:tab w:val="num" w:pos="1080"/>
        </w:tabs>
        <w:ind w:left="1080" w:hanging="360"/>
      </w:pPr>
      <w:rPr>
        <w:rFonts w:ascii="Symbol" w:hAnsi="Symbol" w:hint="default"/>
        <w:color w:val="auto"/>
        <w:sz w:val="18"/>
      </w:rPr>
    </w:lvl>
    <w:lvl w:ilvl="1" w:tplc="E5EE698C">
      <w:start w:val="1"/>
      <w:numFmt w:val="bullet"/>
      <w:lvlText w:val=""/>
      <w:lvlJc w:val="left"/>
      <w:pPr>
        <w:tabs>
          <w:tab w:val="num" w:pos="1800"/>
        </w:tabs>
        <w:ind w:left="1800" w:hanging="360"/>
      </w:pPr>
      <w:rPr>
        <w:rFonts w:ascii="Symbol" w:hAnsi="Symbol" w:hint="default"/>
        <w:color w:val="auto"/>
        <w:sz w:val="18"/>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15:restartNumberingAfterBreak="0">
    <w:nsid w:val="52135ADF"/>
    <w:multiLevelType w:val="hybridMultilevel"/>
    <w:tmpl w:val="350424DE"/>
    <w:lvl w:ilvl="0" w:tplc="F558B176">
      <w:start w:val="1"/>
      <w:numFmt w:val="decimal"/>
      <w:lvlText w:val="%1."/>
      <w:lvlJc w:val="left"/>
      <w:pPr>
        <w:tabs>
          <w:tab w:val="num" w:pos="720"/>
        </w:tabs>
        <w:ind w:left="720" w:hanging="720"/>
      </w:pPr>
      <w:rPr>
        <w:rFonts w:ascii="Arial" w:hAnsi="Arial" w:hint="default"/>
        <w:sz w:val="22"/>
        <w:szCs w:val="22"/>
      </w:rPr>
    </w:lvl>
    <w:lvl w:ilvl="1" w:tplc="F558B176">
      <w:start w:val="1"/>
      <w:numFmt w:val="decimal"/>
      <w:lvlText w:val="%2."/>
      <w:lvlJc w:val="left"/>
      <w:pPr>
        <w:tabs>
          <w:tab w:val="num" w:pos="360"/>
        </w:tabs>
        <w:ind w:left="360" w:hanging="360"/>
      </w:pPr>
      <w:rPr>
        <w:rFonts w:hint="default"/>
        <w:sz w:val="22"/>
        <w:szCs w:val="22"/>
      </w:rPr>
    </w:lvl>
    <w:lvl w:ilvl="2" w:tplc="0C09001B">
      <w:start w:val="1"/>
      <w:numFmt w:val="bullet"/>
      <w:lvlText w:val=""/>
      <w:lvlJc w:val="left"/>
      <w:pPr>
        <w:tabs>
          <w:tab w:val="num" w:pos="576"/>
        </w:tabs>
        <w:ind w:left="576" w:hanging="576"/>
      </w:pPr>
      <w:rPr>
        <w:rFonts w:ascii="Symbol" w:hAnsi="Symbol" w:hint="default"/>
        <w:color w:val="auto"/>
        <w:sz w:val="16"/>
        <w:szCs w:val="22"/>
      </w:rPr>
    </w:lvl>
    <w:lvl w:ilvl="3" w:tplc="0C09000F">
      <w:start w:val="1"/>
      <w:numFmt w:val="decimal"/>
      <w:lvlText w:val="(%4)"/>
      <w:lvlJc w:val="lef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52584A19"/>
    <w:multiLevelType w:val="hybridMultilevel"/>
    <w:tmpl w:val="258E37F4"/>
    <w:name w:val="AGSPart2"/>
    <w:lvl w:ilvl="0" w:tplc="A3EE4CF6">
      <w:start w:val="1"/>
      <w:numFmt w:val="bullet"/>
      <w:lvlText w:val="–"/>
      <w:lvlJc w:val="left"/>
      <w:pPr>
        <w:tabs>
          <w:tab w:val="num" w:pos="1210"/>
        </w:tabs>
        <w:ind w:left="1210" w:hanging="360"/>
      </w:pPr>
      <w:rPr>
        <w:rFonts w:ascii="Coronet (W1)" w:hAnsi="Coronet (W1)" w:hint="default"/>
        <w:sz w:val="24"/>
      </w:rPr>
    </w:lvl>
    <w:lvl w:ilvl="1" w:tplc="0C090019" w:tentative="1">
      <w:start w:val="1"/>
      <w:numFmt w:val="bullet"/>
      <w:lvlText w:val="o"/>
      <w:lvlJc w:val="left"/>
      <w:pPr>
        <w:tabs>
          <w:tab w:val="num" w:pos="1893"/>
        </w:tabs>
        <w:ind w:left="1893" w:hanging="360"/>
      </w:pPr>
      <w:rPr>
        <w:rFonts w:ascii="Courier New" w:hAnsi="Courier New" w:cs="Courier New" w:hint="default"/>
      </w:rPr>
    </w:lvl>
    <w:lvl w:ilvl="2" w:tplc="0C09001B" w:tentative="1">
      <w:start w:val="1"/>
      <w:numFmt w:val="bullet"/>
      <w:lvlText w:val=""/>
      <w:lvlJc w:val="left"/>
      <w:pPr>
        <w:tabs>
          <w:tab w:val="num" w:pos="2613"/>
        </w:tabs>
        <w:ind w:left="2613" w:hanging="360"/>
      </w:pPr>
      <w:rPr>
        <w:rFonts w:ascii="Wingdings" w:hAnsi="Wingdings" w:hint="default"/>
      </w:rPr>
    </w:lvl>
    <w:lvl w:ilvl="3" w:tplc="0C09000F" w:tentative="1">
      <w:start w:val="1"/>
      <w:numFmt w:val="bullet"/>
      <w:lvlText w:val=""/>
      <w:lvlJc w:val="left"/>
      <w:pPr>
        <w:tabs>
          <w:tab w:val="num" w:pos="3333"/>
        </w:tabs>
        <w:ind w:left="3333" w:hanging="360"/>
      </w:pPr>
      <w:rPr>
        <w:rFonts w:ascii="Symbol" w:hAnsi="Symbol" w:hint="default"/>
      </w:rPr>
    </w:lvl>
    <w:lvl w:ilvl="4" w:tplc="0C090019" w:tentative="1">
      <w:start w:val="1"/>
      <w:numFmt w:val="bullet"/>
      <w:lvlText w:val="o"/>
      <w:lvlJc w:val="left"/>
      <w:pPr>
        <w:tabs>
          <w:tab w:val="num" w:pos="4053"/>
        </w:tabs>
        <w:ind w:left="4053" w:hanging="360"/>
      </w:pPr>
      <w:rPr>
        <w:rFonts w:ascii="Courier New" w:hAnsi="Courier New" w:cs="Courier New" w:hint="default"/>
      </w:rPr>
    </w:lvl>
    <w:lvl w:ilvl="5" w:tplc="0C09001B" w:tentative="1">
      <w:start w:val="1"/>
      <w:numFmt w:val="bullet"/>
      <w:lvlText w:val=""/>
      <w:lvlJc w:val="left"/>
      <w:pPr>
        <w:tabs>
          <w:tab w:val="num" w:pos="4773"/>
        </w:tabs>
        <w:ind w:left="4773" w:hanging="360"/>
      </w:pPr>
      <w:rPr>
        <w:rFonts w:ascii="Wingdings" w:hAnsi="Wingdings" w:hint="default"/>
      </w:rPr>
    </w:lvl>
    <w:lvl w:ilvl="6" w:tplc="0C09000F" w:tentative="1">
      <w:start w:val="1"/>
      <w:numFmt w:val="bullet"/>
      <w:lvlText w:val=""/>
      <w:lvlJc w:val="left"/>
      <w:pPr>
        <w:tabs>
          <w:tab w:val="num" w:pos="5493"/>
        </w:tabs>
        <w:ind w:left="5493" w:hanging="360"/>
      </w:pPr>
      <w:rPr>
        <w:rFonts w:ascii="Symbol" w:hAnsi="Symbol" w:hint="default"/>
      </w:rPr>
    </w:lvl>
    <w:lvl w:ilvl="7" w:tplc="0C090019" w:tentative="1">
      <w:start w:val="1"/>
      <w:numFmt w:val="bullet"/>
      <w:lvlText w:val="o"/>
      <w:lvlJc w:val="left"/>
      <w:pPr>
        <w:tabs>
          <w:tab w:val="num" w:pos="6213"/>
        </w:tabs>
        <w:ind w:left="6213" w:hanging="360"/>
      </w:pPr>
      <w:rPr>
        <w:rFonts w:ascii="Courier New" w:hAnsi="Courier New" w:cs="Courier New" w:hint="default"/>
      </w:rPr>
    </w:lvl>
    <w:lvl w:ilvl="8" w:tplc="0C09001B" w:tentative="1">
      <w:start w:val="1"/>
      <w:numFmt w:val="bullet"/>
      <w:lvlText w:val=""/>
      <w:lvlJc w:val="left"/>
      <w:pPr>
        <w:tabs>
          <w:tab w:val="num" w:pos="6933"/>
        </w:tabs>
        <w:ind w:left="6933" w:hanging="360"/>
      </w:pPr>
      <w:rPr>
        <w:rFonts w:ascii="Wingdings" w:hAnsi="Wingdings" w:hint="default"/>
      </w:rPr>
    </w:lvl>
  </w:abstractNum>
  <w:abstractNum w:abstractNumId="33" w15:restartNumberingAfterBreak="0">
    <w:nsid w:val="61751018"/>
    <w:multiLevelType w:val="multilevel"/>
    <w:tmpl w:val="D93C5058"/>
    <w:styleLink w:val="ArticleSection"/>
    <w:lvl w:ilvl="0">
      <w:start w:val="1"/>
      <w:numFmt w:val="upperRoman"/>
      <w:lvlText w:val="Article %1."/>
      <w:lvlJc w:val="left"/>
      <w:pPr>
        <w:tabs>
          <w:tab w:val="num" w:pos="1440"/>
        </w:tabs>
        <w:ind w:left="0" w:firstLine="0"/>
      </w:pPr>
      <w:rPr>
        <w:rFonts w:ascii="Arial" w:hAnsi="Arial" w:cs="Arial"/>
        <w:sz w:val="22"/>
      </w:rPr>
    </w:lvl>
    <w:lvl w:ilvl="1">
      <w:start w:val="1"/>
      <w:numFmt w:val="decimalZero"/>
      <w:isLgl/>
      <w:lvlText w:val="Section %1.%2"/>
      <w:lvlJc w:val="left"/>
      <w:pPr>
        <w:tabs>
          <w:tab w:val="num" w:pos="1440"/>
        </w:tabs>
        <w:ind w:left="0" w:firstLine="0"/>
      </w:pPr>
      <w:rPr>
        <w:rFonts w:ascii="Arial" w:hAnsi="Arial" w:cs="Arial"/>
        <w:sz w:val="22"/>
      </w:rPr>
    </w:lvl>
    <w:lvl w:ilvl="2">
      <w:start w:val="1"/>
      <w:numFmt w:val="lowerLetter"/>
      <w:lvlText w:val="(%3)"/>
      <w:lvlJc w:val="left"/>
      <w:pPr>
        <w:tabs>
          <w:tab w:val="num" w:pos="720"/>
        </w:tabs>
        <w:ind w:left="720" w:hanging="432"/>
      </w:pPr>
      <w:rPr>
        <w:rFonts w:ascii="Arial" w:hAnsi="Arial" w:cs="Arial"/>
        <w:sz w:val="22"/>
      </w:rPr>
    </w:lvl>
    <w:lvl w:ilvl="3">
      <w:start w:val="1"/>
      <w:numFmt w:val="lowerRoman"/>
      <w:lvlText w:val="(%4)"/>
      <w:lvlJc w:val="right"/>
      <w:pPr>
        <w:tabs>
          <w:tab w:val="num" w:pos="864"/>
        </w:tabs>
        <w:ind w:left="864" w:hanging="144"/>
      </w:pPr>
      <w:rPr>
        <w:rFonts w:ascii="Arial" w:hAnsi="Arial" w:cs="Arial"/>
        <w:sz w:val="22"/>
      </w:rPr>
    </w:lvl>
    <w:lvl w:ilvl="4">
      <w:start w:val="1"/>
      <w:numFmt w:val="decimal"/>
      <w:lvlText w:val="%5)"/>
      <w:lvlJc w:val="left"/>
      <w:pPr>
        <w:tabs>
          <w:tab w:val="num" w:pos="1008"/>
        </w:tabs>
        <w:ind w:left="1008" w:hanging="432"/>
      </w:pPr>
      <w:rPr>
        <w:rFonts w:ascii="Arial" w:hAnsi="Arial" w:cs="Arial"/>
        <w:sz w:val="22"/>
      </w:rPr>
    </w:lvl>
    <w:lvl w:ilvl="5">
      <w:start w:val="1"/>
      <w:numFmt w:val="lowerLetter"/>
      <w:lvlText w:val="%6)"/>
      <w:lvlJc w:val="left"/>
      <w:pPr>
        <w:tabs>
          <w:tab w:val="num" w:pos="1152"/>
        </w:tabs>
        <w:ind w:left="1152" w:hanging="432"/>
      </w:pPr>
      <w:rPr>
        <w:rFonts w:ascii="Arial" w:hAnsi="Arial" w:cs="Arial"/>
        <w:sz w:val="22"/>
      </w:rPr>
    </w:lvl>
    <w:lvl w:ilvl="6">
      <w:start w:val="1"/>
      <w:numFmt w:val="lowerRoman"/>
      <w:lvlText w:val="%7)"/>
      <w:lvlJc w:val="right"/>
      <w:pPr>
        <w:tabs>
          <w:tab w:val="num" w:pos="1296"/>
        </w:tabs>
        <w:ind w:left="1296" w:hanging="288"/>
      </w:pPr>
      <w:rPr>
        <w:rFonts w:ascii="Arial" w:hAnsi="Arial" w:cs="Arial"/>
        <w:sz w:val="22"/>
      </w:rPr>
    </w:lvl>
    <w:lvl w:ilvl="7">
      <w:start w:val="1"/>
      <w:numFmt w:val="lowerLetter"/>
      <w:lvlText w:val="%8."/>
      <w:lvlJc w:val="left"/>
      <w:pPr>
        <w:tabs>
          <w:tab w:val="num" w:pos="1440"/>
        </w:tabs>
        <w:ind w:left="1440" w:hanging="432"/>
      </w:pPr>
      <w:rPr>
        <w:rFonts w:ascii="Arial" w:hAnsi="Arial" w:cs="Arial"/>
        <w:sz w:val="22"/>
      </w:rPr>
    </w:lvl>
    <w:lvl w:ilvl="8">
      <w:start w:val="1"/>
      <w:numFmt w:val="lowerRoman"/>
      <w:lvlText w:val="%9."/>
      <w:lvlJc w:val="right"/>
      <w:pPr>
        <w:tabs>
          <w:tab w:val="num" w:pos="1584"/>
        </w:tabs>
        <w:ind w:left="1584" w:hanging="144"/>
      </w:pPr>
      <w:rPr>
        <w:rFonts w:ascii="Arial" w:hAnsi="Arial" w:cs="Arial"/>
        <w:sz w:val="22"/>
      </w:rPr>
    </w:lvl>
  </w:abstractNum>
  <w:abstractNum w:abstractNumId="34" w15:restartNumberingAfterBreak="0">
    <w:nsid w:val="68E13EB1"/>
    <w:multiLevelType w:val="hybridMultilevel"/>
    <w:tmpl w:val="91DC3950"/>
    <w:lvl w:ilvl="0" w:tplc="62782420">
      <w:start w:val="1"/>
      <w:numFmt w:val="decimal"/>
      <w:lvlText w:val="%1."/>
      <w:lvlJc w:val="left"/>
      <w:pPr>
        <w:tabs>
          <w:tab w:val="num" w:pos="720"/>
        </w:tabs>
        <w:ind w:left="720" w:hanging="720"/>
      </w:pPr>
      <w:rPr>
        <w:rFonts w:ascii="Arial" w:hAnsi="Arial" w:hint="default"/>
        <w:sz w:val="22"/>
        <w:szCs w:val="22"/>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141128"/>
    <w:multiLevelType w:val="hybridMultilevel"/>
    <w:tmpl w:val="DCA8D55C"/>
    <w:lvl w:ilvl="0" w:tplc="5A16863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F1A0C0B"/>
    <w:multiLevelType w:val="hybridMultilevel"/>
    <w:tmpl w:val="62721164"/>
    <w:name w:val="AGSHL"/>
    <w:lvl w:ilvl="0" w:tplc="9686196A">
      <w:start w:val="1"/>
      <w:numFmt w:val="decimal"/>
      <w:lvlText w:val="%1."/>
      <w:lvlJc w:val="left"/>
      <w:pPr>
        <w:tabs>
          <w:tab w:val="num" w:pos="360"/>
        </w:tabs>
        <w:ind w:left="360" w:hanging="360"/>
      </w:pPr>
      <w:rPr>
        <w:rFonts w:hint="default"/>
        <w:sz w:val="22"/>
        <w:szCs w:val="22"/>
      </w:rPr>
    </w:lvl>
    <w:lvl w:ilvl="1" w:tplc="5EEAD244" w:tentative="1">
      <w:start w:val="1"/>
      <w:numFmt w:val="lowerLetter"/>
      <w:lvlText w:val="%2."/>
      <w:lvlJc w:val="left"/>
      <w:pPr>
        <w:tabs>
          <w:tab w:val="num" w:pos="1440"/>
        </w:tabs>
        <w:ind w:left="1440" w:hanging="360"/>
      </w:pPr>
    </w:lvl>
    <w:lvl w:ilvl="2" w:tplc="0D50F368" w:tentative="1">
      <w:start w:val="1"/>
      <w:numFmt w:val="lowerRoman"/>
      <w:lvlText w:val="%3."/>
      <w:lvlJc w:val="right"/>
      <w:pPr>
        <w:tabs>
          <w:tab w:val="num" w:pos="2160"/>
        </w:tabs>
        <w:ind w:left="2160" w:hanging="180"/>
      </w:pPr>
    </w:lvl>
    <w:lvl w:ilvl="3" w:tplc="77B6F830" w:tentative="1">
      <w:start w:val="1"/>
      <w:numFmt w:val="decimal"/>
      <w:lvlText w:val="%4."/>
      <w:lvlJc w:val="left"/>
      <w:pPr>
        <w:tabs>
          <w:tab w:val="num" w:pos="2880"/>
        </w:tabs>
        <w:ind w:left="2880" w:hanging="360"/>
      </w:pPr>
    </w:lvl>
    <w:lvl w:ilvl="4" w:tplc="F8D8202C" w:tentative="1">
      <w:start w:val="1"/>
      <w:numFmt w:val="lowerLetter"/>
      <w:lvlText w:val="%5."/>
      <w:lvlJc w:val="left"/>
      <w:pPr>
        <w:tabs>
          <w:tab w:val="num" w:pos="3600"/>
        </w:tabs>
        <w:ind w:left="3600" w:hanging="360"/>
      </w:pPr>
    </w:lvl>
    <w:lvl w:ilvl="5" w:tplc="C320571A" w:tentative="1">
      <w:start w:val="1"/>
      <w:numFmt w:val="lowerRoman"/>
      <w:lvlText w:val="%6."/>
      <w:lvlJc w:val="right"/>
      <w:pPr>
        <w:tabs>
          <w:tab w:val="num" w:pos="4320"/>
        </w:tabs>
        <w:ind w:left="4320" w:hanging="180"/>
      </w:pPr>
    </w:lvl>
    <w:lvl w:ilvl="6" w:tplc="1B1E991C" w:tentative="1">
      <w:start w:val="1"/>
      <w:numFmt w:val="decimal"/>
      <w:lvlText w:val="%7."/>
      <w:lvlJc w:val="left"/>
      <w:pPr>
        <w:tabs>
          <w:tab w:val="num" w:pos="5040"/>
        </w:tabs>
        <w:ind w:left="5040" w:hanging="360"/>
      </w:pPr>
    </w:lvl>
    <w:lvl w:ilvl="7" w:tplc="5584FAEE" w:tentative="1">
      <w:start w:val="1"/>
      <w:numFmt w:val="lowerLetter"/>
      <w:lvlText w:val="%8."/>
      <w:lvlJc w:val="left"/>
      <w:pPr>
        <w:tabs>
          <w:tab w:val="num" w:pos="5760"/>
        </w:tabs>
        <w:ind w:left="5760" w:hanging="360"/>
      </w:pPr>
    </w:lvl>
    <w:lvl w:ilvl="8" w:tplc="1B8E9B4A" w:tentative="1">
      <w:start w:val="1"/>
      <w:numFmt w:val="lowerRoman"/>
      <w:lvlText w:val="%9."/>
      <w:lvlJc w:val="right"/>
      <w:pPr>
        <w:tabs>
          <w:tab w:val="num" w:pos="6480"/>
        </w:tabs>
        <w:ind w:left="6480" w:hanging="180"/>
      </w:pPr>
    </w:lvl>
  </w:abstractNum>
  <w:abstractNum w:abstractNumId="37" w15:restartNumberingAfterBreak="0">
    <w:nsid w:val="780775E4"/>
    <w:multiLevelType w:val="hybridMultilevel"/>
    <w:tmpl w:val="F112E27A"/>
    <w:name w:val="AGSPart22"/>
    <w:lvl w:ilvl="0" w:tplc="E5EE698C">
      <w:start w:val="1"/>
      <w:numFmt w:val="bullet"/>
      <w:lvlText w:val="–"/>
      <w:lvlJc w:val="left"/>
      <w:pPr>
        <w:tabs>
          <w:tab w:val="num" w:pos="1210"/>
        </w:tabs>
        <w:ind w:left="1210" w:hanging="360"/>
      </w:pPr>
      <w:rPr>
        <w:rFonts w:ascii="Coronet (W1)" w:hAnsi="Coronet (W1)" w:hint="default"/>
        <w:sz w:val="24"/>
      </w:rPr>
    </w:lvl>
    <w:lvl w:ilvl="1" w:tplc="0C090003" w:tentative="1">
      <w:start w:val="1"/>
      <w:numFmt w:val="bullet"/>
      <w:lvlText w:val="o"/>
      <w:lvlJc w:val="left"/>
      <w:pPr>
        <w:tabs>
          <w:tab w:val="num" w:pos="1893"/>
        </w:tabs>
        <w:ind w:left="1893" w:hanging="360"/>
      </w:pPr>
      <w:rPr>
        <w:rFonts w:ascii="Courier New" w:hAnsi="Courier New" w:cs="Courier New" w:hint="default"/>
      </w:rPr>
    </w:lvl>
    <w:lvl w:ilvl="2" w:tplc="0C090005" w:tentative="1">
      <w:start w:val="1"/>
      <w:numFmt w:val="bullet"/>
      <w:lvlText w:val=""/>
      <w:lvlJc w:val="left"/>
      <w:pPr>
        <w:tabs>
          <w:tab w:val="num" w:pos="2613"/>
        </w:tabs>
        <w:ind w:left="2613" w:hanging="360"/>
      </w:pPr>
      <w:rPr>
        <w:rFonts w:ascii="Wingdings" w:hAnsi="Wingdings" w:hint="default"/>
      </w:rPr>
    </w:lvl>
    <w:lvl w:ilvl="3" w:tplc="0C090001" w:tentative="1">
      <w:start w:val="1"/>
      <w:numFmt w:val="bullet"/>
      <w:lvlText w:val=""/>
      <w:lvlJc w:val="left"/>
      <w:pPr>
        <w:tabs>
          <w:tab w:val="num" w:pos="3333"/>
        </w:tabs>
        <w:ind w:left="3333" w:hanging="360"/>
      </w:pPr>
      <w:rPr>
        <w:rFonts w:ascii="Symbol" w:hAnsi="Symbol" w:hint="default"/>
      </w:rPr>
    </w:lvl>
    <w:lvl w:ilvl="4" w:tplc="0C090003" w:tentative="1">
      <w:start w:val="1"/>
      <w:numFmt w:val="bullet"/>
      <w:lvlText w:val="o"/>
      <w:lvlJc w:val="left"/>
      <w:pPr>
        <w:tabs>
          <w:tab w:val="num" w:pos="4053"/>
        </w:tabs>
        <w:ind w:left="4053" w:hanging="360"/>
      </w:pPr>
      <w:rPr>
        <w:rFonts w:ascii="Courier New" w:hAnsi="Courier New" w:cs="Courier New" w:hint="default"/>
      </w:rPr>
    </w:lvl>
    <w:lvl w:ilvl="5" w:tplc="0C090005" w:tentative="1">
      <w:start w:val="1"/>
      <w:numFmt w:val="bullet"/>
      <w:lvlText w:val=""/>
      <w:lvlJc w:val="left"/>
      <w:pPr>
        <w:tabs>
          <w:tab w:val="num" w:pos="4773"/>
        </w:tabs>
        <w:ind w:left="4773" w:hanging="360"/>
      </w:pPr>
      <w:rPr>
        <w:rFonts w:ascii="Wingdings" w:hAnsi="Wingdings" w:hint="default"/>
      </w:rPr>
    </w:lvl>
    <w:lvl w:ilvl="6" w:tplc="0C090001" w:tentative="1">
      <w:start w:val="1"/>
      <w:numFmt w:val="bullet"/>
      <w:lvlText w:val=""/>
      <w:lvlJc w:val="left"/>
      <w:pPr>
        <w:tabs>
          <w:tab w:val="num" w:pos="5493"/>
        </w:tabs>
        <w:ind w:left="5493" w:hanging="360"/>
      </w:pPr>
      <w:rPr>
        <w:rFonts w:ascii="Symbol" w:hAnsi="Symbol" w:hint="default"/>
      </w:rPr>
    </w:lvl>
    <w:lvl w:ilvl="7" w:tplc="0C090003" w:tentative="1">
      <w:start w:val="1"/>
      <w:numFmt w:val="bullet"/>
      <w:lvlText w:val="o"/>
      <w:lvlJc w:val="left"/>
      <w:pPr>
        <w:tabs>
          <w:tab w:val="num" w:pos="6213"/>
        </w:tabs>
        <w:ind w:left="6213" w:hanging="360"/>
      </w:pPr>
      <w:rPr>
        <w:rFonts w:ascii="Courier New" w:hAnsi="Courier New" w:cs="Courier New" w:hint="default"/>
      </w:rPr>
    </w:lvl>
    <w:lvl w:ilvl="8" w:tplc="0C090005" w:tentative="1">
      <w:start w:val="1"/>
      <w:numFmt w:val="bullet"/>
      <w:lvlText w:val=""/>
      <w:lvlJc w:val="left"/>
      <w:pPr>
        <w:tabs>
          <w:tab w:val="num" w:pos="6933"/>
        </w:tabs>
        <w:ind w:left="6933" w:hanging="360"/>
      </w:pPr>
      <w:rPr>
        <w:rFonts w:ascii="Wingdings" w:hAnsi="Wingdings" w:hint="default"/>
      </w:rPr>
    </w:lvl>
  </w:abstractNum>
  <w:abstractNum w:abstractNumId="38" w15:restartNumberingAfterBreak="0">
    <w:nsid w:val="7BDD1D47"/>
    <w:multiLevelType w:val="hybridMultilevel"/>
    <w:tmpl w:val="ACACE59C"/>
    <w:name w:val="AGSTBDash"/>
    <w:lvl w:ilvl="0" w:tplc="3F786C2C">
      <w:start w:val="1"/>
      <w:numFmt w:val="bullet"/>
      <w:lvlText w:val="–"/>
      <w:lvlJc w:val="left"/>
      <w:pPr>
        <w:tabs>
          <w:tab w:val="num" w:pos="1440"/>
        </w:tabs>
        <w:ind w:left="1440" w:hanging="360"/>
      </w:pPr>
      <w:rPr>
        <w:rFonts w:ascii="Coronet (W1)" w:hAnsi="Coronet (W1)" w:hint="default"/>
        <w:sz w:val="24"/>
      </w:rPr>
    </w:lvl>
    <w:lvl w:ilvl="1" w:tplc="42AAD350" w:tentative="1">
      <w:start w:val="1"/>
      <w:numFmt w:val="bullet"/>
      <w:lvlText w:val="o"/>
      <w:lvlJc w:val="left"/>
      <w:pPr>
        <w:tabs>
          <w:tab w:val="num" w:pos="2123"/>
        </w:tabs>
        <w:ind w:left="2123" w:hanging="360"/>
      </w:pPr>
      <w:rPr>
        <w:rFonts w:ascii="Courier New" w:hAnsi="Courier New" w:cs="Courier New" w:hint="default"/>
      </w:rPr>
    </w:lvl>
    <w:lvl w:ilvl="2" w:tplc="53BE2C2E" w:tentative="1">
      <w:start w:val="1"/>
      <w:numFmt w:val="bullet"/>
      <w:lvlText w:val=""/>
      <w:lvlJc w:val="left"/>
      <w:pPr>
        <w:tabs>
          <w:tab w:val="num" w:pos="2843"/>
        </w:tabs>
        <w:ind w:left="2843" w:hanging="360"/>
      </w:pPr>
      <w:rPr>
        <w:rFonts w:ascii="Wingdings" w:hAnsi="Wingdings" w:hint="default"/>
      </w:rPr>
    </w:lvl>
    <w:lvl w:ilvl="3" w:tplc="2910A66A" w:tentative="1">
      <w:start w:val="1"/>
      <w:numFmt w:val="bullet"/>
      <w:lvlText w:val=""/>
      <w:lvlJc w:val="left"/>
      <w:pPr>
        <w:tabs>
          <w:tab w:val="num" w:pos="3563"/>
        </w:tabs>
        <w:ind w:left="3563" w:hanging="360"/>
      </w:pPr>
      <w:rPr>
        <w:rFonts w:ascii="Symbol" w:hAnsi="Symbol" w:hint="default"/>
      </w:rPr>
    </w:lvl>
    <w:lvl w:ilvl="4" w:tplc="BA8C0208" w:tentative="1">
      <w:start w:val="1"/>
      <w:numFmt w:val="bullet"/>
      <w:lvlText w:val="o"/>
      <w:lvlJc w:val="left"/>
      <w:pPr>
        <w:tabs>
          <w:tab w:val="num" w:pos="4283"/>
        </w:tabs>
        <w:ind w:left="4283" w:hanging="360"/>
      </w:pPr>
      <w:rPr>
        <w:rFonts w:ascii="Courier New" w:hAnsi="Courier New" w:cs="Courier New" w:hint="default"/>
      </w:rPr>
    </w:lvl>
    <w:lvl w:ilvl="5" w:tplc="2AB4C638" w:tentative="1">
      <w:start w:val="1"/>
      <w:numFmt w:val="bullet"/>
      <w:lvlText w:val=""/>
      <w:lvlJc w:val="left"/>
      <w:pPr>
        <w:tabs>
          <w:tab w:val="num" w:pos="5003"/>
        </w:tabs>
        <w:ind w:left="5003" w:hanging="360"/>
      </w:pPr>
      <w:rPr>
        <w:rFonts w:ascii="Wingdings" w:hAnsi="Wingdings" w:hint="default"/>
      </w:rPr>
    </w:lvl>
    <w:lvl w:ilvl="6" w:tplc="F01E474C" w:tentative="1">
      <w:start w:val="1"/>
      <w:numFmt w:val="bullet"/>
      <w:lvlText w:val=""/>
      <w:lvlJc w:val="left"/>
      <w:pPr>
        <w:tabs>
          <w:tab w:val="num" w:pos="5723"/>
        </w:tabs>
        <w:ind w:left="5723" w:hanging="360"/>
      </w:pPr>
      <w:rPr>
        <w:rFonts w:ascii="Symbol" w:hAnsi="Symbol" w:hint="default"/>
      </w:rPr>
    </w:lvl>
    <w:lvl w:ilvl="7" w:tplc="C5168DA0" w:tentative="1">
      <w:start w:val="1"/>
      <w:numFmt w:val="bullet"/>
      <w:lvlText w:val="o"/>
      <w:lvlJc w:val="left"/>
      <w:pPr>
        <w:tabs>
          <w:tab w:val="num" w:pos="6443"/>
        </w:tabs>
        <w:ind w:left="6443" w:hanging="360"/>
      </w:pPr>
      <w:rPr>
        <w:rFonts w:ascii="Courier New" w:hAnsi="Courier New" w:cs="Courier New" w:hint="default"/>
      </w:rPr>
    </w:lvl>
    <w:lvl w:ilvl="8" w:tplc="DA9E961C" w:tentative="1">
      <w:start w:val="1"/>
      <w:numFmt w:val="bullet"/>
      <w:lvlText w:val=""/>
      <w:lvlJc w:val="left"/>
      <w:pPr>
        <w:tabs>
          <w:tab w:val="num" w:pos="7163"/>
        </w:tabs>
        <w:ind w:left="7163" w:hanging="360"/>
      </w:pPr>
      <w:rPr>
        <w:rFonts w:ascii="Wingdings" w:hAnsi="Wingdings" w:hint="default"/>
      </w:rPr>
    </w:lvl>
  </w:abstractNum>
  <w:abstractNum w:abstractNumId="39" w15:restartNumberingAfterBreak="0">
    <w:nsid w:val="7C8E366C"/>
    <w:multiLevelType w:val="hybridMultilevel"/>
    <w:tmpl w:val="394EDFCC"/>
    <w:name w:val="AGSClause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596981711">
    <w:abstractNumId w:val="18"/>
  </w:num>
  <w:num w:numId="2" w16cid:durableId="999700721">
    <w:abstractNumId w:val="21"/>
  </w:num>
  <w:num w:numId="3" w16cid:durableId="1061102638">
    <w:abstractNumId w:val="16"/>
  </w:num>
  <w:num w:numId="4" w16cid:durableId="722405332">
    <w:abstractNumId w:val="1"/>
  </w:num>
  <w:num w:numId="5" w16cid:durableId="2042129131">
    <w:abstractNumId w:val="8"/>
  </w:num>
  <w:num w:numId="6" w16cid:durableId="17970987">
    <w:abstractNumId w:val="23"/>
  </w:num>
  <w:num w:numId="7" w16cid:durableId="1042949162">
    <w:abstractNumId w:val="2"/>
  </w:num>
  <w:num w:numId="8" w16cid:durableId="634877172">
    <w:abstractNumId w:val="14"/>
  </w:num>
  <w:num w:numId="9" w16cid:durableId="267784281">
    <w:abstractNumId w:val="22"/>
  </w:num>
  <w:num w:numId="10" w16cid:durableId="1515682390">
    <w:abstractNumId w:val="7"/>
  </w:num>
  <w:num w:numId="11" w16cid:durableId="3024092">
    <w:abstractNumId w:val="13"/>
  </w:num>
  <w:num w:numId="12" w16cid:durableId="874076851">
    <w:abstractNumId w:val="6"/>
  </w:num>
  <w:num w:numId="13" w16cid:durableId="1287614296">
    <w:abstractNumId w:val="25"/>
  </w:num>
  <w:num w:numId="14" w16cid:durableId="1540238056">
    <w:abstractNumId w:val="4"/>
  </w:num>
  <w:num w:numId="15" w16cid:durableId="970986465">
    <w:abstractNumId w:val="33"/>
  </w:num>
  <w:num w:numId="16" w16cid:durableId="1638336881">
    <w:abstractNumId w:val="0"/>
  </w:num>
  <w:num w:numId="17" w16cid:durableId="1831285886">
    <w:abstractNumId w:val="26"/>
  </w:num>
  <w:num w:numId="18" w16cid:durableId="1786650958">
    <w:abstractNumId w:val="31"/>
  </w:num>
  <w:num w:numId="19" w16cid:durableId="1789815197">
    <w:abstractNumId w:val="29"/>
  </w:num>
  <w:num w:numId="20" w16cid:durableId="612057704">
    <w:abstractNumId w:val="27"/>
  </w:num>
  <w:num w:numId="21" w16cid:durableId="2143770740">
    <w:abstractNumId w:val="28"/>
  </w:num>
  <w:num w:numId="22" w16cid:durableId="1099982388">
    <w:abstractNumId w:val="34"/>
  </w:num>
  <w:num w:numId="23" w16cid:durableId="1993634896">
    <w:abstractNumId w:val="9"/>
  </w:num>
  <w:num w:numId="24" w16cid:durableId="1948391538">
    <w:abstractNumId w:val="11"/>
  </w:num>
  <w:num w:numId="25" w16cid:durableId="1773092562">
    <w:abstractNumId w:val="35"/>
  </w:num>
  <w:num w:numId="26" w16cid:durableId="235750110">
    <w:abstractNumId w:val="3"/>
  </w:num>
  <w:num w:numId="27" w16cid:durableId="2029796790">
    <w:abstractNumId w:val="19"/>
  </w:num>
  <w:num w:numId="28" w16cid:durableId="1644429371">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name" w:val="BYD\BYD\44898438\1"/>
  </w:docVars>
  <w:rsids>
    <w:rsidRoot w:val="00865B09"/>
    <w:rsid w:val="00003545"/>
    <w:rsid w:val="00010582"/>
    <w:rsid w:val="00012F1A"/>
    <w:rsid w:val="00017D33"/>
    <w:rsid w:val="00021E81"/>
    <w:rsid w:val="000224B2"/>
    <w:rsid w:val="000229B5"/>
    <w:rsid w:val="00022CFE"/>
    <w:rsid w:val="0002465D"/>
    <w:rsid w:val="0002594A"/>
    <w:rsid w:val="00027365"/>
    <w:rsid w:val="00033E21"/>
    <w:rsid w:val="0004226A"/>
    <w:rsid w:val="00045A72"/>
    <w:rsid w:val="000476CF"/>
    <w:rsid w:val="00047815"/>
    <w:rsid w:val="000505E6"/>
    <w:rsid w:val="000508A8"/>
    <w:rsid w:val="00050E4C"/>
    <w:rsid w:val="00053493"/>
    <w:rsid w:val="000546DB"/>
    <w:rsid w:val="000550B4"/>
    <w:rsid w:val="00055E3E"/>
    <w:rsid w:val="00061C8E"/>
    <w:rsid w:val="0007093F"/>
    <w:rsid w:val="0007230E"/>
    <w:rsid w:val="000732A5"/>
    <w:rsid w:val="000768FD"/>
    <w:rsid w:val="00077EF3"/>
    <w:rsid w:val="00081779"/>
    <w:rsid w:val="000830DA"/>
    <w:rsid w:val="00085CCC"/>
    <w:rsid w:val="00085FB6"/>
    <w:rsid w:val="0009207C"/>
    <w:rsid w:val="00093838"/>
    <w:rsid w:val="000951F6"/>
    <w:rsid w:val="000A14A1"/>
    <w:rsid w:val="000A1D64"/>
    <w:rsid w:val="000A5668"/>
    <w:rsid w:val="000B449A"/>
    <w:rsid w:val="000B762F"/>
    <w:rsid w:val="000C367C"/>
    <w:rsid w:val="000C4CAD"/>
    <w:rsid w:val="000D055B"/>
    <w:rsid w:val="000D2F69"/>
    <w:rsid w:val="000E000A"/>
    <w:rsid w:val="000E020E"/>
    <w:rsid w:val="000E5F23"/>
    <w:rsid w:val="000E634C"/>
    <w:rsid w:val="000E6C62"/>
    <w:rsid w:val="000F0EE6"/>
    <w:rsid w:val="000F11C1"/>
    <w:rsid w:val="000F1894"/>
    <w:rsid w:val="000F2537"/>
    <w:rsid w:val="000F453F"/>
    <w:rsid w:val="000F53A3"/>
    <w:rsid w:val="000F65F2"/>
    <w:rsid w:val="00102938"/>
    <w:rsid w:val="00104A32"/>
    <w:rsid w:val="00106814"/>
    <w:rsid w:val="00107A12"/>
    <w:rsid w:val="00111094"/>
    <w:rsid w:val="001138B5"/>
    <w:rsid w:val="00116DCE"/>
    <w:rsid w:val="0012113B"/>
    <w:rsid w:val="00124FFF"/>
    <w:rsid w:val="00126547"/>
    <w:rsid w:val="00127ABF"/>
    <w:rsid w:val="001337D6"/>
    <w:rsid w:val="00134E88"/>
    <w:rsid w:val="00135702"/>
    <w:rsid w:val="00136F18"/>
    <w:rsid w:val="001374C6"/>
    <w:rsid w:val="001405B3"/>
    <w:rsid w:val="00142C21"/>
    <w:rsid w:val="0014748A"/>
    <w:rsid w:val="00166E67"/>
    <w:rsid w:val="00166E72"/>
    <w:rsid w:val="00167253"/>
    <w:rsid w:val="00170F18"/>
    <w:rsid w:val="0017123B"/>
    <w:rsid w:val="00171CDD"/>
    <w:rsid w:val="001726A1"/>
    <w:rsid w:val="001727E9"/>
    <w:rsid w:val="001758B3"/>
    <w:rsid w:val="00175CB0"/>
    <w:rsid w:val="00175F04"/>
    <w:rsid w:val="00177DC2"/>
    <w:rsid w:val="00184ADA"/>
    <w:rsid w:val="00184BBD"/>
    <w:rsid w:val="00184F94"/>
    <w:rsid w:val="00187485"/>
    <w:rsid w:val="0018798D"/>
    <w:rsid w:val="001916BD"/>
    <w:rsid w:val="001916D5"/>
    <w:rsid w:val="001938E9"/>
    <w:rsid w:val="00197134"/>
    <w:rsid w:val="00197CF2"/>
    <w:rsid w:val="001A0D94"/>
    <w:rsid w:val="001A3BEC"/>
    <w:rsid w:val="001A5090"/>
    <w:rsid w:val="001A6232"/>
    <w:rsid w:val="001A66F9"/>
    <w:rsid w:val="001A7B21"/>
    <w:rsid w:val="001B211A"/>
    <w:rsid w:val="001B7441"/>
    <w:rsid w:val="001C302C"/>
    <w:rsid w:val="001C392E"/>
    <w:rsid w:val="001C3EC7"/>
    <w:rsid w:val="001D0D9E"/>
    <w:rsid w:val="001D445C"/>
    <w:rsid w:val="001D6751"/>
    <w:rsid w:val="001E1277"/>
    <w:rsid w:val="001E1A17"/>
    <w:rsid w:val="001E2945"/>
    <w:rsid w:val="001E39AA"/>
    <w:rsid w:val="001E62AD"/>
    <w:rsid w:val="001F1995"/>
    <w:rsid w:val="001F692B"/>
    <w:rsid w:val="001F6BE1"/>
    <w:rsid w:val="002004EB"/>
    <w:rsid w:val="00202279"/>
    <w:rsid w:val="00205CAF"/>
    <w:rsid w:val="00213DC3"/>
    <w:rsid w:val="00213EA7"/>
    <w:rsid w:val="0022112C"/>
    <w:rsid w:val="00222CBA"/>
    <w:rsid w:val="00224359"/>
    <w:rsid w:val="0022760E"/>
    <w:rsid w:val="0023071B"/>
    <w:rsid w:val="00230F5C"/>
    <w:rsid w:val="0023101B"/>
    <w:rsid w:val="00232F41"/>
    <w:rsid w:val="002369F4"/>
    <w:rsid w:val="00241136"/>
    <w:rsid w:val="00244704"/>
    <w:rsid w:val="0024524E"/>
    <w:rsid w:val="0024788A"/>
    <w:rsid w:val="00247994"/>
    <w:rsid w:val="002519B7"/>
    <w:rsid w:val="00255228"/>
    <w:rsid w:val="00260C0F"/>
    <w:rsid w:val="00264498"/>
    <w:rsid w:val="00267649"/>
    <w:rsid w:val="002679E7"/>
    <w:rsid w:val="00270746"/>
    <w:rsid w:val="00270FBF"/>
    <w:rsid w:val="002840F2"/>
    <w:rsid w:val="00287CC6"/>
    <w:rsid w:val="00291678"/>
    <w:rsid w:val="00292B62"/>
    <w:rsid w:val="00292E34"/>
    <w:rsid w:val="00295736"/>
    <w:rsid w:val="0029625F"/>
    <w:rsid w:val="002965B0"/>
    <w:rsid w:val="0029667B"/>
    <w:rsid w:val="002A5343"/>
    <w:rsid w:val="002C18EC"/>
    <w:rsid w:val="002C2A94"/>
    <w:rsid w:val="002C2D15"/>
    <w:rsid w:val="002D15EF"/>
    <w:rsid w:val="002D492B"/>
    <w:rsid w:val="002D4EF7"/>
    <w:rsid w:val="002E0AB8"/>
    <w:rsid w:val="002E193E"/>
    <w:rsid w:val="002E2AD2"/>
    <w:rsid w:val="002E3908"/>
    <w:rsid w:val="002E3BCE"/>
    <w:rsid w:val="002F0E97"/>
    <w:rsid w:val="002F187A"/>
    <w:rsid w:val="002F36F8"/>
    <w:rsid w:val="002F3EA5"/>
    <w:rsid w:val="002F5485"/>
    <w:rsid w:val="00300CAC"/>
    <w:rsid w:val="00300CBB"/>
    <w:rsid w:val="003023D3"/>
    <w:rsid w:val="0030451E"/>
    <w:rsid w:val="00313823"/>
    <w:rsid w:val="003208A5"/>
    <w:rsid w:val="00322B4D"/>
    <w:rsid w:val="00324169"/>
    <w:rsid w:val="00324C84"/>
    <w:rsid w:val="00326999"/>
    <w:rsid w:val="00326CD0"/>
    <w:rsid w:val="00333217"/>
    <w:rsid w:val="00333CBB"/>
    <w:rsid w:val="00334117"/>
    <w:rsid w:val="003359F9"/>
    <w:rsid w:val="003370FE"/>
    <w:rsid w:val="00341A08"/>
    <w:rsid w:val="00346618"/>
    <w:rsid w:val="0035579D"/>
    <w:rsid w:val="00356E48"/>
    <w:rsid w:val="00361B7B"/>
    <w:rsid w:val="00362FDF"/>
    <w:rsid w:val="00363849"/>
    <w:rsid w:val="00363CBB"/>
    <w:rsid w:val="0036505A"/>
    <w:rsid w:val="003664CE"/>
    <w:rsid w:val="00376544"/>
    <w:rsid w:val="00377B92"/>
    <w:rsid w:val="00386D46"/>
    <w:rsid w:val="00387558"/>
    <w:rsid w:val="00387A0E"/>
    <w:rsid w:val="003907E4"/>
    <w:rsid w:val="00393605"/>
    <w:rsid w:val="0039385E"/>
    <w:rsid w:val="003A6BBC"/>
    <w:rsid w:val="003A7796"/>
    <w:rsid w:val="003A79DB"/>
    <w:rsid w:val="003B0C1F"/>
    <w:rsid w:val="003B192B"/>
    <w:rsid w:val="003B42CC"/>
    <w:rsid w:val="003B7796"/>
    <w:rsid w:val="003C029C"/>
    <w:rsid w:val="003C1490"/>
    <w:rsid w:val="003C5DC6"/>
    <w:rsid w:val="003D10C5"/>
    <w:rsid w:val="003D3085"/>
    <w:rsid w:val="003D4232"/>
    <w:rsid w:val="003D6E05"/>
    <w:rsid w:val="003D7533"/>
    <w:rsid w:val="003E00C4"/>
    <w:rsid w:val="003E185B"/>
    <w:rsid w:val="003E386C"/>
    <w:rsid w:val="003E3B9E"/>
    <w:rsid w:val="003E3E76"/>
    <w:rsid w:val="003F19E5"/>
    <w:rsid w:val="003F365D"/>
    <w:rsid w:val="003F4ECE"/>
    <w:rsid w:val="003F5EEF"/>
    <w:rsid w:val="003F6DCE"/>
    <w:rsid w:val="00400099"/>
    <w:rsid w:val="0040226A"/>
    <w:rsid w:val="00404170"/>
    <w:rsid w:val="00406744"/>
    <w:rsid w:val="00406E80"/>
    <w:rsid w:val="00407D52"/>
    <w:rsid w:val="00410E31"/>
    <w:rsid w:val="00413868"/>
    <w:rsid w:val="00415B09"/>
    <w:rsid w:val="00417A44"/>
    <w:rsid w:val="00424CF8"/>
    <w:rsid w:val="004252F0"/>
    <w:rsid w:val="004340B1"/>
    <w:rsid w:val="0043471B"/>
    <w:rsid w:val="004357BF"/>
    <w:rsid w:val="00435879"/>
    <w:rsid w:val="004376ED"/>
    <w:rsid w:val="00437888"/>
    <w:rsid w:val="0044440F"/>
    <w:rsid w:val="004469C6"/>
    <w:rsid w:val="004470AD"/>
    <w:rsid w:val="00447E6B"/>
    <w:rsid w:val="00451DDB"/>
    <w:rsid w:val="004552D4"/>
    <w:rsid w:val="00455A08"/>
    <w:rsid w:val="00457B04"/>
    <w:rsid w:val="00461E35"/>
    <w:rsid w:val="004632D2"/>
    <w:rsid w:val="0046387B"/>
    <w:rsid w:val="00467D08"/>
    <w:rsid w:val="00472323"/>
    <w:rsid w:val="00472586"/>
    <w:rsid w:val="00474E2A"/>
    <w:rsid w:val="00475791"/>
    <w:rsid w:val="00481143"/>
    <w:rsid w:val="004816BE"/>
    <w:rsid w:val="00482803"/>
    <w:rsid w:val="00482CF4"/>
    <w:rsid w:val="00482D6C"/>
    <w:rsid w:val="0048419D"/>
    <w:rsid w:val="00484E91"/>
    <w:rsid w:val="004854C8"/>
    <w:rsid w:val="00486050"/>
    <w:rsid w:val="00486053"/>
    <w:rsid w:val="00487587"/>
    <w:rsid w:val="00495F3D"/>
    <w:rsid w:val="00497AAF"/>
    <w:rsid w:val="004A189F"/>
    <w:rsid w:val="004A741D"/>
    <w:rsid w:val="004B1D57"/>
    <w:rsid w:val="004B4A4E"/>
    <w:rsid w:val="004B6C24"/>
    <w:rsid w:val="004C02BD"/>
    <w:rsid w:val="004C10AA"/>
    <w:rsid w:val="004C20C7"/>
    <w:rsid w:val="004C2C2D"/>
    <w:rsid w:val="004C4D6B"/>
    <w:rsid w:val="004C5DA0"/>
    <w:rsid w:val="004C731D"/>
    <w:rsid w:val="004D253B"/>
    <w:rsid w:val="004D43AF"/>
    <w:rsid w:val="004D73A4"/>
    <w:rsid w:val="004E16D1"/>
    <w:rsid w:val="004E3FFE"/>
    <w:rsid w:val="004E7A88"/>
    <w:rsid w:val="004F0545"/>
    <w:rsid w:val="004F1EE7"/>
    <w:rsid w:val="004F250A"/>
    <w:rsid w:val="004F365B"/>
    <w:rsid w:val="004F415C"/>
    <w:rsid w:val="004F53C2"/>
    <w:rsid w:val="004F6D5E"/>
    <w:rsid w:val="00500331"/>
    <w:rsid w:val="00500D01"/>
    <w:rsid w:val="005025C6"/>
    <w:rsid w:val="005037FF"/>
    <w:rsid w:val="00503A01"/>
    <w:rsid w:val="005044CE"/>
    <w:rsid w:val="005049D6"/>
    <w:rsid w:val="00504AE6"/>
    <w:rsid w:val="00505541"/>
    <w:rsid w:val="00505967"/>
    <w:rsid w:val="00507152"/>
    <w:rsid w:val="00507812"/>
    <w:rsid w:val="005079E7"/>
    <w:rsid w:val="00510C60"/>
    <w:rsid w:val="0051109F"/>
    <w:rsid w:val="00512B0E"/>
    <w:rsid w:val="0051319C"/>
    <w:rsid w:val="00513820"/>
    <w:rsid w:val="005140FA"/>
    <w:rsid w:val="0051635D"/>
    <w:rsid w:val="0052105C"/>
    <w:rsid w:val="00535745"/>
    <w:rsid w:val="00535DD1"/>
    <w:rsid w:val="00535DEF"/>
    <w:rsid w:val="00536484"/>
    <w:rsid w:val="0054016A"/>
    <w:rsid w:val="00542CC4"/>
    <w:rsid w:val="005448A1"/>
    <w:rsid w:val="00545A58"/>
    <w:rsid w:val="0054660C"/>
    <w:rsid w:val="00546C96"/>
    <w:rsid w:val="00550E81"/>
    <w:rsid w:val="005510F5"/>
    <w:rsid w:val="005528B4"/>
    <w:rsid w:val="00560942"/>
    <w:rsid w:val="00560E0F"/>
    <w:rsid w:val="005621C8"/>
    <w:rsid w:val="0056761B"/>
    <w:rsid w:val="005701D3"/>
    <w:rsid w:val="00574443"/>
    <w:rsid w:val="00574AAC"/>
    <w:rsid w:val="005807C4"/>
    <w:rsid w:val="0058089C"/>
    <w:rsid w:val="00583913"/>
    <w:rsid w:val="00585038"/>
    <w:rsid w:val="005921A7"/>
    <w:rsid w:val="005924A8"/>
    <w:rsid w:val="005928B2"/>
    <w:rsid w:val="0059473D"/>
    <w:rsid w:val="00594BD3"/>
    <w:rsid w:val="005958E1"/>
    <w:rsid w:val="00596C76"/>
    <w:rsid w:val="0059772F"/>
    <w:rsid w:val="005A0AE6"/>
    <w:rsid w:val="005A299D"/>
    <w:rsid w:val="005A4D53"/>
    <w:rsid w:val="005A7DE2"/>
    <w:rsid w:val="005B01EF"/>
    <w:rsid w:val="005B2267"/>
    <w:rsid w:val="005B28B7"/>
    <w:rsid w:val="005B4EC6"/>
    <w:rsid w:val="005B5CAF"/>
    <w:rsid w:val="005C3318"/>
    <w:rsid w:val="005C7130"/>
    <w:rsid w:val="005D0FA2"/>
    <w:rsid w:val="005D3573"/>
    <w:rsid w:val="005D516E"/>
    <w:rsid w:val="005D59C8"/>
    <w:rsid w:val="005E2AA5"/>
    <w:rsid w:val="005E3D40"/>
    <w:rsid w:val="005E481B"/>
    <w:rsid w:val="005E6436"/>
    <w:rsid w:val="005E7A5A"/>
    <w:rsid w:val="005F25AB"/>
    <w:rsid w:val="005F3F0D"/>
    <w:rsid w:val="005F4CFB"/>
    <w:rsid w:val="005F5153"/>
    <w:rsid w:val="005F6D11"/>
    <w:rsid w:val="00600770"/>
    <w:rsid w:val="0060274C"/>
    <w:rsid w:val="00603BFB"/>
    <w:rsid w:val="00605774"/>
    <w:rsid w:val="006057A9"/>
    <w:rsid w:val="00610DD4"/>
    <w:rsid w:val="00611F65"/>
    <w:rsid w:val="0061463A"/>
    <w:rsid w:val="00617B79"/>
    <w:rsid w:val="00622D05"/>
    <w:rsid w:val="006252CA"/>
    <w:rsid w:val="00626FA2"/>
    <w:rsid w:val="006279C7"/>
    <w:rsid w:val="0063007A"/>
    <w:rsid w:val="006304D6"/>
    <w:rsid w:val="00630DDE"/>
    <w:rsid w:val="006310DE"/>
    <w:rsid w:val="00631BCE"/>
    <w:rsid w:val="00632DC8"/>
    <w:rsid w:val="0063443C"/>
    <w:rsid w:val="006345EC"/>
    <w:rsid w:val="00637A35"/>
    <w:rsid w:val="00642582"/>
    <w:rsid w:val="00642DCB"/>
    <w:rsid w:val="00644401"/>
    <w:rsid w:val="00645389"/>
    <w:rsid w:val="00645BA4"/>
    <w:rsid w:val="00645F6F"/>
    <w:rsid w:val="00661BB4"/>
    <w:rsid w:val="00661CF1"/>
    <w:rsid w:val="0066226B"/>
    <w:rsid w:val="00663AC2"/>
    <w:rsid w:val="0067480C"/>
    <w:rsid w:val="00674CB2"/>
    <w:rsid w:val="00676164"/>
    <w:rsid w:val="00677B76"/>
    <w:rsid w:val="00680669"/>
    <w:rsid w:val="00680DC0"/>
    <w:rsid w:val="0068189D"/>
    <w:rsid w:val="00694F5F"/>
    <w:rsid w:val="006A1498"/>
    <w:rsid w:val="006A32FA"/>
    <w:rsid w:val="006A37C4"/>
    <w:rsid w:val="006A47AA"/>
    <w:rsid w:val="006A5887"/>
    <w:rsid w:val="006A6020"/>
    <w:rsid w:val="006A6CE6"/>
    <w:rsid w:val="006A72B0"/>
    <w:rsid w:val="006B1941"/>
    <w:rsid w:val="006B53C6"/>
    <w:rsid w:val="006C127D"/>
    <w:rsid w:val="006C2C64"/>
    <w:rsid w:val="006C39D1"/>
    <w:rsid w:val="006C58DA"/>
    <w:rsid w:val="006C6155"/>
    <w:rsid w:val="006C66A7"/>
    <w:rsid w:val="006D22B6"/>
    <w:rsid w:val="006D38DE"/>
    <w:rsid w:val="006D3CE0"/>
    <w:rsid w:val="006D463C"/>
    <w:rsid w:val="006D4FE9"/>
    <w:rsid w:val="006D7FF4"/>
    <w:rsid w:val="006E1170"/>
    <w:rsid w:val="006E1EBA"/>
    <w:rsid w:val="006E5743"/>
    <w:rsid w:val="006E64C8"/>
    <w:rsid w:val="006F1CC8"/>
    <w:rsid w:val="006F4108"/>
    <w:rsid w:val="007039CB"/>
    <w:rsid w:val="00704AEB"/>
    <w:rsid w:val="007051EE"/>
    <w:rsid w:val="007100F1"/>
    <w:rsid w:val="0071131C"/>
    <w:rsid w:val="00711CBA"/>
    <w:rsid w:val="00720D81"/>
    <w:rsid w:val="0072178A"/>
    <w:rsid w:val="007220B4"/>
    <w:rsid w:val="0072631C"/>
    <w:rsid w:val="00727C7B"/>
    <w:rsid w:val="0073025D"/>
    <w:rsid w:val="00733432"/>
    <w:rsid w:val="00733975"/>
    <w:rsid w:val="00735979"/>
    <w:rsid w:val="0073728D"/>
    <w:rsid w:val="007474A0"/>
    <w:rsid w:val="007537F9"/>
    <w:rsid w:val="00755883"/>
    <w:rsid w:val="00756B72"/>
    <w:rsid w:val="00757558"/>
    <w:rsid w:val="0076061C"/>
    <w:rsid w:val="00764475"/>
    <w:rsid w:val="00764563"/>
    <w:rsid w:val="00767A6A"/>
    <w:rsid w:val="007705C8"/>
    <w:rsid w:val="007714E0"/>
    <w:rsid w:val="007747EE"/>
    <w:rsid w:val="00780177"/>
    <w:rsid w:val="007816AE"/>
    <w:rsid w:val="007827BC"/>
    <w:rsid w:val="00783E7B"/>
    <w:rsid w:val="00784371"/>
    <w:rsid w:val="00792F35"/>
    <w:rsid w:val="00796F21"/>
    <w:rsid w:val="007A0F87"/>
    <w:rsid w:val="007A1E51"/>
    <w:rsid w:val="007A2483"/>
    <w:rsid w:val="007A3055"/>
    <w:rsid w:val="007A315F"/>
    <w:rsid w:val="007A4DCF"/>
    <w:rsid w:val="007A56B3"/>
    <w:rsid w:val="007B16B0"/>
    <w:rsid w:val="007B57BE"/>
    <w:rsid w:val="007B634C"/>
    <w:rsid w:val="007C1DBA"/>
    <w:rsid w:val="007C2640"/>
    <w:rsid w:val="007C38C0"/>
    <w:rsid w:val="007C566D"/>
    <w:rsid w:val="007C5ADB"/>
    <w:rsid w:val="007C6162"/>
    <w:rsid w:val="007C7A33"/>
    <w:rsid w:val="007D1051"/>
    <w:rsid w:val="007D1453"/>
    <w:rsid w:val="007E2D4E"/>
    <w:rsid w:val="007E5ABD"/>
    <w:rsid w:val="007E69AB"/>
    <w:rsid w:val="007F5B5C"/>
    <w:rsid w:val="007F7301"/>
    <w:rsid w:val="00801BEC"/>
    <w:rsid w:val="00802FA8"/>
    <w:rsid w:val="0080331C"/>
    <w:rsid w:val="00804D63"/>
    <w:rsid w:val="00804E26"/>
    <w:rsid w:val="008062CF"/>
    <w:rsid w:val="00814EA3"/>
    <w:rsid w:val="0081628A"/>
    <w:rsid w:val="00817AAC"/>
    <w:rsid w:val="008211CB"/>
    <w:rsid w:val="00826C75"/>
    <w:rsid w:val="008275C8"/>
    <w:rsid w:val="00832F3C"/>
    <w:rsid w:val="0083483C"/>
    <w:rsid w:val="00837EC5"/>
    <w:rsid w:val="00840255"/>
    <w:rsid w:val="00844817"/>
    <w:rsid w:val="00851769"/>
    <w:rsid w:val="0085503B"/>
    <w:rsid w:val="00855D7B"/>
    <w:rsid w:val="00857972"/>
    <w:rsid w:val="0086176D"/>
    <w:rsid w:val="00865B09"/>
    <w:rsid w:val="00865C79"/>
    <w:rsid w:val="00867821"/>
    <w:rsid w:val="00867E76"/>
    <w:rsid w:val="00870E33"/>
    <w:rsid w:val="00871229"/>
    <w:rsid w:val="00871B3A"/>
    <w:rsid w:val="008768F2"/>
    <w:rsid w:val="00880DD6"/>
    <w:rsid w:val="00890E66"/>
    <w:rsid w:val="00892B23"/>
    <w:rsid w:val="0089363A"/>
    <w:rsid w:val="008970C3"/>
    <w:rsid w:val="008A4365"/>
    <w:rsid w:val="008A6B40"/>
    <w:rsid w:val="008A7F4B"/>
    <w:rsid w:val="008B15C5"/>
    <w:rsid w:val="008B3702"/>
    <w:rsid w:val="008B5160"/>
    <w:rsid w:val="008C2575"/>
    <w:rsid w:val="008C4566"/>
    <w:rsid w:val="008D0E8F"/>
    <w:rsid w:val="008D15BC"/>
    <w:rsid w:val="008D3E3F"/>
    <w:rsid w:val="008D46FA"/>
    <w:rsid w:val="008D5074"/>
    <w:rsid w:val="008D5A46"/>
    <w:rsid w:val="008E0F85"/>
    <w:rsid w:val="008E1458"/>
    <w:rsid w:val="008E224C"/>
    <w:rsid w:val="008E34C7"/>
    <w:rsid w:val="008F20E8"/>
    <w:rsid w:val="008F75FF"/>
    <w:rsid w:val="00900109"/>
    <w:rsid w:val="009005B0"/>
    <w:rsid w:val="009069CC"/>
    <w:rsid w:val="00907D59"/>
    <w:rsid w:val="00907F2A"/>
    <w:rsid w:val="00913CF9"/>
    <w:rsid w:val="00914374"/>
    <w:rsid w:val="009147BC"/>
    <w:rsid w:val="009215E8"/>
    <w:rsid w:val="00921B67"/>
    <w:rsid w:val="0092264E"/>
    <w:rsid w:val="00922966"/>
    <w:rsid w:val="00922FA6"/>
    <w:rsid w:val="009246E7"/>
    <w:rsid w:val="00925B93"/>
    <w:rsid w:val="0092707B"/>
    <w:rsid w:val="00927A2D"/>
    <w:rsid w:val="00932184"/>
    <w:rsid w:val="009324A1"/>
    <w:rsid w:val="00935C30"/>
    <w:rsid w:val="00942530"/>
    <w:rsid w:val="00943D04"/>
    <w:rsid w:val="0094689D"/>
    <w:rsid w:val="00947F50"/>
    <w:rsid w:val="009511C6"/>
    <w:rsid w:val="00955BEE"/>
    <w:rsid w:val="00956FB3"/>
    <w:rsid w:val="00962F57"/>
    <w:rsid w:val="0096369D"/>
    <w:rsid w:val="009647F7"/>
    <w:rsid w:val="00970005"/>
    <w:rsid w:val="0097060D"/>
    <w:rsid w:val="0097248E"/>
    <w:rsid w:val="009733F9"/>
    <w:rsid w:val="00974F0D"/>
    <w:rsid w:val="009767F0"/>
    <w:rsid w:val="009827A6"/>
    <w:rsid w:val="00985E90"/>
    <w:rsid w:val="00986E8D"/>
    <w:rsid w:val="00987DB8"/>
    <w:rsid w:val="00995A4B"/>
    <w:rsid w:val="00997C9E"/>
    <w:rsid w:val="00997CDE"/>
    <w:rsid w:val="009A112E"/>
    <w:rsid w:val="009A12EB"/>
    <w:rsid w:val="009A16FA"/>
    <w:rsid w:val="009A189C"/>
    <w:rsid w:val="009A1F3C"/>
    <w:rsid w:val="009A2FCD"/>
    <w:rsid w:val="009B15CC"/>
    <w:rsid w:val="009B4ADC"/>
    <w:rsid w:val="009C3E3E"/>
    <w:rsid w:val="009C48BB"/>
    <w:rsid w:val="009C6917"/>
    <w:rsid w:val="009D505F"/>
    <w:rsid w:val="009D585B"/>
    <w:rsid w:val="009F1058"/>
    <w:rsid w:val="009F1C99"/>
    <w:rsid w:val="009F1DFB"/>
    <w:rsid w:val="009F3B9E"/>
    <w:rsid w:val="009F4B36"/>
    <w:rsid w:val="009F55C9"/>
    <w:rsid w:val="00A05A9D"/>
    <w:rsid w:val="00A07D37"/>
    <w:rsid w:val="00A11501"/>
    <w:rsid w:val="00A1241D"/>
    <w:rsid w:val="00A1303A"/>
    <w:rsid w:val="00A16B9D"/>
    <w:rsid w:val="00A21F25"/>
    <w:rsid w:val="00A22C0F"/>
    <w:rsid w:val="00A2430B"/>
    <w:rsid w:val="00A252C4"/>
    <w:rsid w:val="00A25F64"/>
    <w:rsid w:val="00A302DF"/>
    <w:rsid w:val="00A323A4"/>
    <w:rsid w:val="00A33493"/>
    <w:rsid w:val="00A375B6"/>
    <w:rsid w:val="00A4102A"/>
    <w:rsid w:val="00A41DAF"/>
    <w:rsid w:val="00A44807"/>
    <w:rsid w:val="00A44CA8"/>
    <w:rsid w:val="00A451F4"/>
    <w:rsid w:val="00A47B5A"/>
    <w:rsid w:val="00A50E88"/>
    <w:rsid w:val="00A52559"/>
    <w:rsid w:val="00A64337"/>
    <w:rsid w:val="00A6645E"/>
    <w:rsid w:val="00A67C69"/>
    <w:rsid w:val="00A713BC"/>
    <w:rsid w:val="00A747B6"/>
    <w:rsid w:val="00A7558C"/>
    <w:rsid w:val="00A75E11"/>
    <w:rsid w:val="00A81597"/>
    <w:rsid w:val="00A91310"/>
    <w:rsid w:val="00A91C17"/>
    <w:rsid w:val="00A93927"/>
    <w:rsid w:val="00A949D2"/>
    <w:rsid w:val="00AA1D91"/>
    <w:rsid w:val="00AA4BFF"/>
    <w:rsid w:val="00AA5F64"/>
    <w:rsid w:val="00AA6128"/>
    <w:rsid w:val="00AA6F6C"/>
    <w:rsid w:val="00AB2C26"/>
    <w:rsid w:val="00AB32DB"/>
    <w:rsid w:val="00AB5B08"/>
    <w:rsid w:val="00AB601F"/>
    <w:rsid w:val="00AB7F80"/>
    <w:rsid w:val="00AC25EB"/>
    <w:rsid w:val="00AC757B"/>
    <w:rsid w:val="00AD1EAD"/>
    <w:rsid w:val="00AD5B59"/>
    <w:rsid w:val="00AE289A"/>
    <w:rsid w:val="00AE3301"/>
    <w:rsid w:val="00AE34B5"/>
    <w:rsid w:val="00AF19A0"/>
    <w:rsid w:val="00AF2575"/>
    <w:rsid w:val="00AF5D2E"/>
    <w:rsid w:val="00AF676E"/>
    <w:rsid w:val="00B00281"/>
    <w:rsid w:val="00B01714"/>
    <w:rsid w:val="00B01C57"/>
    <w:rsid w:val="00B01CBE"/>
    <w:rsid w:val="00B02047"/>
    <w:rsid w:val="00B029D8"/>
    <w:rsid w:val="00B03138"/>
    <w:rsid w:val="00B04DCF"/>
    <w:rsid w:val="00B07E79"/>
    <w:rsid w:val="00B10C41"/>
    <w:rsid w:val="00B10DF1"/>
    <w:rsid w:val="00B1660F"/>
    <w:rsid w:val="00B17DCF"/>
    <w:rsid w:val="00B21C78"/>
    <w:rsid w:val="00B2456C"/>
    <w:rsid w:val="00B25962"/>
    <w:rsid w:val="00B25ECC"/>
    <w:rsid w:val="00B2688B"/>
    <w:rsid w:val="00B26D14"/>
    <w:rsid w:val="00B26D25"/>
    <w:rsid w:val="00B26DFD"/>
    <w:rsid w:val="00B2738D"/>
    <w:rsid w:val="00B30F87"/>
    <w:rsid w:val="00B32650"/>
    <w:rsid w:val="00B339A6"/>
    <w:rsid w:val="00B36A85"/>
    <w:rsid w:val="00B37B1C"/>
    <w:rsid w:val="00B40053"/>
    <w:rsid w:val="00B4035D"/>
    <w:rsid w:val="00B413DF"/>
    <w:rsid w:val="00B41595"/>
    <w:rsid w:val="00B44106"/>
    <w:rsid w:val="00B446F0"/>
    <w:rsid w:val="00B447B7"/>
    <w:rsid w:val="00B4517E"/>
    <w:rsid w:val="00B45795"/>
    <w:rsid w:val="00B470CF"/>
    <w:rsid w:val="00B47684"/>
    <w:rsid w:val="00B5043F"/>
    <w:rsid w:val="00B51464"/>
    <w:rsid w:val="00B528A3"/>
    <w:rsid w:val="00B55599"/>
    <w:rsid w:val="00B560EE"/>
    <w:rsid w:val="00B57CBB"/>
    <w:rsid w:val="00B6023F"/>
    <w:rsid w:val="00B616E9"/>
    <w:rsid w:val="00B63616"/>
    <w:rsid w:val="00B719E6"/>
    <w:rsid w:val="00B72DE4"/>
    <w:rsid w:val="00B745E2"/>
    <w:rsid w:val="00B75BEE"/>
    <w:rsid w:val="00B77203"/>
    <w:rsid w:val="00B80B27"/>
    <w:rsid w:val="00B958B6"/>
    <w:rsid w:val="00B96AE3"/>
    <w:rsid w:val="00BA1D6F"/>
    <w:rsid w:val="00BA32FA"/>
    <w:rsid w:val="00BA3F79"/>
    <w:rsid w:val="00BA4703"/>
    <w:rsid w:val="00BA5008"/>
    <w:rsid w:val="00BA5E1D"/>
    <w:rsid w:val="00BB0845"/>
    <w:rsid w:val="00BB127D"/>
    <w:rsid w:val="00BB3C3E"/>
    <w:rsid w:val="00BB63E3"/>
    <w:rsid w:val="00BC32F1"/>
    <w:rsid w:val="00BC4C81"/>
    <w:rsid w:val="00BC5014"/>
    <w:rsid w:val="00BC6517"/>
    <w:rsid w:val="00BC7009"/>
    <w:rsid w:val="00BD12E0"/>
    <w:rsid w:val="00BD1A8F"/>
    <w:rsid w:val="00BD311C"/>
    <w:rsid w:val="00BD393F"/>
    <w:rsid w:val="00BD5422"/>
    <w:rsid w:val="00BE0221"/>
    <w:rsid w:val="00BE22DC"/>
    <w:rsid w:val="00BE28F2"/>
    <w:rsid w:val="00BE3434"/>
    <w:rsid w:val="00BE4E2E"/>
    <w:rsid w:val="00BF1290"/>
    <w:rsid w:val="00C041FF"/>
    <w:rsid w:val="00C051F7"/>
    <w:rsid w:val="00C06234"/>
    <w:rsid w:val="00C1366C"/>
    <w:rsid w:val="00C15500"/>
    <w:rsid w:val="00C168A5"/>
    <w:rsid w:val="00C17A30"/>
    <w:rsid w:val="00C20077"/>
    <w:rsid w:val="00C25D5E"/>
    <w:rsid w:val="00C309AA"/>
    <w:rsid w:val="00C32A34"/>
    <w:rsid w:val="00C3757E"/>
    <w:rsid w:val="00C37FD1"/>
    <w:rsid w:val="00C41685"/>
    <w:rsid w:val="00C43691"/>
    <w:rsid w:val="00C45CF5"/>
    <w:rsid w:val="00C46433"/>
    <w:rsid w:val="00C47310"/>
    <w:rsid w:val="00C540C7"/>
    <w:rsid w:val="00C56024"/>
    <w:rsid w:val="00C61F54"/>
    <w:rsid w:val="00C63D51"/>
    <w:rsid w:val="00C71DEE"/>
    <w:rsid w:val="00C72D41"/>
    <w:rsid w:val="00C759AB"/>
    <w:rsid w:val="00C77BDE"/>
    <w:rsid w:val="00C77EFF"/>
    <w:rsid w:val="00C86EC9"/>
    <w:rsid w:val="00C87279"/>
    <w:rsid w:val="00C90B18"/>
    <w:rsid w:val="00C94D01"/>
    <w:rsid w:val="00CA0842"/>
    <w:rsid w:val="00CB08A5"/>
    <w:rsid w:val="00CB223A"/>
    <w:rsid w:val="00CB3062"/>
    <w:rsid w:val="00CB3369"/>
    <w:rsid w:val="00CC17E1"/>
    <w:rsid w:val="00CC38F9"/>
    <w:rsid w:val="00CC3FD0"/>
    <w:rsid w:val="00CC47B6"/>
    <w:rsid w:val="00CD18EE"/>
    <w:rsid w:val="00CD4020"/>
    <w:rsid w:val="00CD622D"/>
    <w:rsid w:val="00CD7456"/>
    <w:rsid w:val="00CE00E9"/>
    <w:rsid w:val="00CE02CA"/>
    <w:rsid w:val="00CE1EB9"/>
    <w:rsid w:val="00CE297A"/>
    <w:rsid w:val="00CE5236"/>
    <w:rsid w:val="00CE722C"/>
    <w:rsid w:val="00CF0489"/>
    <w:rsid w:val="00CF32CB"/>
    <w:rsid w:val="00CF4519"/>
    <w:rsid w:val="00D075FD"/>
    <w:rsid w:val="00D07624"/>
    <w:rsid w:val="00D11612"/>
    <w:rsid w:val="00D168A4"/>
    <w:rsid w:val="00D2205F"/>
    <w:rsid w:val="00D22602"/>
    <w:rsid w:val="00D23343"/>
    <w:rsid w:val="00D24B78"/>
    <w:rsid w:val="00D27F45"/>
    <w:rsid w:val="00D373C2"/>
    <w:rsid w:val="00D43999"/>
    <w:rsid w:val="00D440EA"/>
    <w:rsid w:val="00D47B89"/>
    <w:rsid w:val="00D50B53"/>
    <w:rsid w:val="00D5227B"/>
    <w:rsid w:val="00D56B0D"/>
    <w:rsid w:val="00D65135"/>
    <w:rsid w:val="00D6551E"/>
    <w:rsid w:val="00D72CF8"/>
    <w:rsid w:val="00D73AEB"/>
    <w:rsid w:val="00D81787"/>
    <w:rsid w:val="00D819C1"/>
    <w:rsid w:val="00D82EBB"/>
    <w:rsid w:val="00D8329C"/>
    <w:rsid w:val="00D84B71"/>
    <w:rsid w:val="00D90353"/>
    <w:rsid w:val="00D90654"/>
    <w:rsid w:val="00D925CC"/>
    <w:rsid w:val="00D94326"/>
    <w:rsid w:val="00D969BA"/>
    <w:rsid w:val="00D96ABC"/>
    <w:rsid w:val="00DB00E4"/>
    <w:rsid w:val="00DB09E1"/>
    <w:rsid w:val="00DB0FFD"/>
    <w:rsid w:val="00DB2331"/>
    <w:rsid w:val="00DB2BAC"/>
    <w:rsid w:val="00DB5B9C"/>
    <w:rsid w:val="00DB64F8"/>
    <w:rsid w:val="00DB6BD9"/>
    <w:rsid w:val="00DC08B2"/>
    <w:rsid w:val="00DC194C"/>
    <w:rsid w:val="00DC404D"/>
    <w:rsid w:val="00DC424C"/>
    <w:rsid w:val="00DC52C5"/>
    <w:rsid w:val="00DD40A4"/>
    <w:rsid w:val="00DD52F6"/>
    <w:rsid w:val="00DE1139"/>
    <w:rsid w:val="00DE55FA"/>
    <w:rsid w:val="00DE5D64"/>
    <w:rsid w:val="00DE6EF9"/>
    <w:rsid w:val="00DF454E"/>
    <w:rsid w:val="00DF4C14"/>
    <w:rsid w:val="00DF5486"/>
    <w:rsid w:val="00DF595A"/>
    <w:rsid w:val="00E00478"/>
    <w:rsid w:val="00E03188"/>
    <w:rsid w:val="00E06630"/>
    <w:rsid w:val="00E06B2A"/>
    <w:rsid w:val="00E11661"/>
    <w:rsid w:val="00E12AA2"/>
    <w:rsid w:val="00E1318C"/>
    <w:rsid w:val="00E144A8"/>
    <w:rsid w:val="00E146E5"/>
    <w:rsid w:val="00E177BE"/>
    <w:rsid w:val="00E21856"/>
    <w:rsid w:val="00E22267"/>
    <w:rsid w:val="00E247D8"/>
    <w:rsid w:val="00E24CAF"/>
    <w:rsid w:val="00E24DE9"/>
    <w:rsid w:val="00E24F5C"/>
    <w:rsid w:val="00E26CBB"/>
    <w:rsid w:val="00E30F9B"/>
    <w:rsid w:val="00E31BAD"/>
    <w:rsid w:val="00E32612"/>
    <w:rsid w:val="00E34E60"/>
    <w:rsid w:val="00E4099E"/>
    <w:rsid w:val="00E40DD4"/>
    <w:rsid w:val="00E41402"/>
    <w:rsid w:val="00E4319A"/>
    <w:rsid w:val="00E4466A"/>
    <w:rsid w:val="00E46464"/>
    <w:rsid w:val="00E5085D"/>
    <w:rsid w:val="00E50F1A"/>
    <w:rsid w:val="00E50F75"/>
    <w:rsid w:val="00E541B8"/>
    <w:rsid w:val="00E54EFB"/>
    <w:rsid w:val="00E55D40"/>
    <w:rsid w:val="00E5755D"/>
    <w:rsid w:val="00E61932"/>
    <w:rsid w:val="00E62FAC"/>
    <w:rsid w:val="00E648F4"/>
    <w:rsid w:val="00E65673"/>
    <w:rsid w:val="00E7472A"/>
    <w:rsid w:val="00E80EE5"/>
    <w:rsid w:val="00E82C88"/>
    <w:rsid w:val="00E82CD0"/>
    <w:rsid w:val="00E848C5"/>
    <w:rsid w:val="00E9163B"/>
    <w:rsid w:val="00E922D6"/>
    <w:rsid w:val="00E92A4D"/>
    <w:rsid w:val="00E92C22"/>
    <w:rsid w:val="00E9375C"/>
    <w:rsid w:val="00E946E4"/>
    <w:rsid w:val="00E97DC1"/>
    <w:rsid w:val="00E97F67"/>
    <w:rsid w:val="00EA2089"/>
    <w:rsid w:val="00EA39FC"/>
    <w:rsid w:val="00EA54B5"/>
    <w:rsid w:val="00EA6792"/>
    <w:rsid w:val="00EA7A44"/>
    <w:rsid w:val="00EA7DE6"/>
    <w:rsid w:val="00EB153F"/>
    <w:rsid w:val="00EB19BF"/>
    <w:rsid w:val="00EB1CED"/>
    <w:rsid w:val="00EB2921"/>
    <w:rsid w:val="00EB35A8"/>
    <w:rsid w:val="00EB3F04"/>
    <w:rsid w:val="00EB5580"/>
    <w:rsid w:val="00EC0CB7"/>
    <w:rsid w:val="00EC10AE"/>
    <w:rsid w:val="00EC426A"/>
    <w:rsid w:val="00EC48E8"/>
    <w:rsid w:val="00EC5346"/>
    <w:rsid w:val="00EC78DB"/>
    <w:rsid w:val="00EC7FC5"/>
    <w:rsid w:val="00ED0FB6"/>
    <w:rsid w:val="00ED2306"/>
    <w:rsid w:val="00ED24C7"/>
    <w:rsid w:val="00ED2E10"/>
    <w:rsid w:val="00ED43A3"/>
    <w:rsid w:val="00ED59A2"/>
    <w:rsid w:val="00ED61D0"/>
    <w:rsid w:val="00ED6BDA"/>
    <w:rsid w:val="00ED7F05"/>
    <w:rsid w:val="00EE0D00"/>
    <w:rsid w:val="00EE2157"/>
    <w:rsid w:val="00EE78B7"/>
    <w:rsid w:val="00EF0DAB"/>
    <w:rsid w:val="00EF43A3"/>
    <w:rsid w:val="00F01E5A"/>
    <w:rsid w:val="00F05002"/>
    <w:rsid w:val="00F107F5"/>
    <w:rsid w:val="00F116AF"/>
    <w:rsid w:val="00F13A69"/>
    <w:rsid w:val="00F15E0A"/>
    <w:rsid w:val="00F20861"/>
    <w:rsid w:val="00F20D94"/>
    <w:rsid w:val="00F225FD"/>
    <w:rsid w:val="00F23896"/>
    <w:rsid w:val="00F25504"/>
    <w:rsid w:val="00F30883"/>
    <w:rsid w:val="00F34869"/>
    <w:rsid w:val="00F357D6"/>
    <w:rsid w:val="00F35F63"/>
    <w:rsid w:val="00F54093"/>
    <w:rsid w:val="00F65590"/>
    <w:rsid w:val="00F657F7"/>
    <w:rsid w:val="00F70443"/>
    <w:rsid w:val="00F7387E"/>
    <w:rsid w:val="00F74804"/>
    <w:rsid w:val="00F7558F"/>
    <w:rsid w:val="00F84425"/>
    <w:rsid w:val="00F84E0B"/>
    <w:rsid w:val="00F8565E"/>
    <w:rsid w:val="00F8660C"/>
    <w:rsid w:val="00F86F34"/>
    <w:rsid w:val="00F878B1"/>
    <w:rsid w:val="00F9409B"/>
    <w:rsid w:val="00F95AB6"/>
    <w:rsid w:val="00FA0EDD"/>
    <w:rsid w:val="00FA179F"/>
    <w:rsid w:val="00FA1C96"/>
    <w:rsid w:val="00FA387A"/>
    <w:rsid w:val="00FA532D"/>
    <w:rsid w:val="00FA5589"/>
    <w:rsid w:val="00FB68FC"/>
    <w:rsid w:val="00FC2917"/>
    <w:rsid w:val="00FC32BA"/>
    <w:rsid w:val="00FC491B"/>
    <w:rsid w:val="00FC5C28"/>
    <w:rsid w:val="00FC62E3"/>
    <w:rsid w:val="00FC7938"/>
    <w:rsid w:val="00FD2008"/>
    <w:rsid w:val="00FD52AD"/>
    <w:rsid w:val="00FD5631"/>
    <w:rsid w:val="00FD6154"/>
    <w:rsid w:val="00FE1C84"/>
    <w:rsid w:val="00FE2C26"/>
    <w:rsid w:val="00FE3334"/>
    <w:rsid w:val="00FE374D"/>
    <w:rsid w:val="00FF104F"/>
    <w:rsid w:val="00FF1416"/>
    <w:rsid w:val="00FF4A7E"/>
    <w:rsid w:val="00FF5DA7"/>
    <w:rsid w:val="00FF6A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60E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894"/>
    <w:rPr>
      <w:rFonts w:ascii="Arial" w:hAnsi="Arial" w:cs="Arial"/>
      <w:sz w:val="22"/>
      <w:szCs w:val="24"/>
      <w:lang w:val="en-AU" w:eastAsia="en-AU"/>
    </w:rPr>
  </w:style>
  <w:style w:type="paragraph" w:styleId="Heading1">
    <w:name w:val="heading 1"/>
    <w:basedOn w:val="HeadingBase"/>
    <w:next w:val="NumberLevel1"/>
    <w:link w:val="Heading1Char"/>
    <w:autoRedefine/>
    <w:qFormat/>
    <w:rsid w:val="00FE374D"/>
    <w:pPr>
      <w:keepNext/>
      <w:keepLines/>
      <w:spacing w:before="0" w:line="240" w:lineRule="auto"/>
      <w:outlineLvl w:val="0"/>
    </w:pPr>
    <w:rPr>
      <w:rFonts w:ascii="Calibri" w:hAnsi="Calibri" w:cs="Calibri"/>
      <w:b/>
      <w:bCs/>
      <w:caps/>
      <w:kern w:val="32"/>
      <w:sz w:val="22"/>
    </w:rPr>
  </w:style>
  <w:style w:type="paragraph" w:styleId="Heading2">
    <w:name w:val="heading 2"/>
    <w:basedOn w:val="HeadingBase"/>
    <w:next w:val="NumberLevel1"/>
    <w:link w:val="Heading2Char"/>
    <w:qFormat/>
    <w:rsid w:val="00FE374D"/>
    <w:pPr>
      <w:keepNext/>
      <w:keepLines/>
      <w:outlineLvl w:val="1"/>
    </w:pPr>
    <w:rPr>
      <w:b/>
      <w:bCs/>
      <w:i/>
      <w:iCs/>
      <w:szCs w:val="20"/>
    </w:rPr>
  </w:style>
  <w:style w:type="paragraph" w:styleId="Heading3">
    <w:name w:val="heading 3"/>
    <w:basedOn w:val="HeadingBase"/>
    <w:next w:val="NumberLevel1"/>
    <w:link w:val="Heading3Char"/>
    <w:qFormat/>
    <w:pPr>
      <w:keepNext/>
      <w:keepLines/>
      <w:outlineLvl w:val="2"/>
    </w:pPr>
    <w:rPr>
      <w:b/>
      <w:bCs/>
      <w:i/>
      <w:szCs w:val="26"/>
    </w:rPr>
  </w:style>
  <w:style w:type="paragraph" w:styleId="Heading4">
    <w:name w:val="heading 4"/>
    <w:basedOn w:val="HeadingBase"/>
    <w:next w:val="NumberLevel1"/>
    <w:link w:val="Heading4Char"/>
    <w:qFormat/>
    <w:pPr>
      <w:keepNext/>
      <w:keepLines/>
      <w:outlineLvl w:val="3"/>
    </w:pPr>
    <w:rPr>
      <w:bCs/>
      <w:i/>
      <w:szCs w:val="28"/>
    </w:rPr>
  </w:style>
  <w:style w:type="paragraph" w:styleId="Heading5">
    <w:name w:val="heading 5"/>
    <w:basedOn w:val="HeadingBase"/>
    <w:next w:val="NumberLevel1"/>
    <w:qFormat/>
    <w:pPr>
      <w:keepNext/>
      <w:keepLines/>
      <w:outlineLvl w:val="4"/>
    </w:pPr>
    <w:rPr>
      <w:b/>
      <w:bCs/>
      <w:iCs/>
      <w:sz w:val="18"/>
      <w:szCs w:val="26"/>
    </w:rPr>
  </w:style>
  <w:style w:type="paragraph" w:styleId="Heading6">
    <w:name w:val="heading 6"/>
    <w:basedOn w:val="Normal"/>
    <w:next w:val="Normal"/>
    <w:qFormat/>
    <w:pPr>
      <w:keepNext/>
      <w:outlineLvl w:val="5"/>
    </w:pPr>
    <w:rPr>
      <w:b/>
      <w:szCs w:val="22"/>
    </w:rPr>
  </w:style>
  <w:style w:type="paragraph" w:styleId="Heading7">
    <w:name w:val="heading 7"/>
    <w:basedOn w:val="Normal"/>
    <w:next w:val="Normal"/>
    <w:qFormat/>
    <w:pPr>
      <w:keepNext/>
      <w:widowControl w:val="0"/>
      <w:jc w:val="center"/>
      <w:outlineLvl w:val="6"/>
    </w:pPr>
    <w:rPr>
      <w:b/>
      <w:szCs w:val="22"/>
    </w:rPr>
  </w:style>
  <w:style w:type="paragraph" w:styleId="Heading8">
    <w:name w:val="heading 8"/>
    <w:basedOn w:val="Normal"/>
    <w:next w:val="Normal"/>
    <w:qFormat/>
    <w:pPr>
      <w:keepNext/>
      <w:outlineLvl w:val="7"/>
    </w:pPr>
    <w:rPr>
      <w:b/>
      <w:szCs w:val="22"/>
    </w:rPr>
  </w:style>
  <w:style w:type="paragraph" w:styleId="Heading9">
    <w:name w:val="heading 9"/>
    <w:basedOn w:val="Normal"/>
    <w:next w:val="Normal"/>
    <w:qFormat/>
    <w:pPr>
      <w:keepNext/>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link w:val="NormalBaseChar2"/>
    <w:semiHidden/>
    <w:pPr>
      <w:spacing w:before="140" w:after="140" w:line="280" w:lineRule="atLeast"/>
    </w:pPr>
    <w:rPr>
      <w:rFonts w:ascii="Arial" w:hAnsi="Arial" w:cs="Arial"/>
      <w:sz w:val="22"/>
      <w:szCs w:val="22"/>
      <w:lang w:val="en-AU" w:eastAsia="en-AU"/>
    </w:rPr>
  </w:style>
  <w:style w:type="paragraph" w:customStyle="1" w:styleId="HeadingBase">
    <w:name w:val="Heading Base"/>
    <w:link w:val="HeadingBaseChar"/>
    <w:semiHidden/>
    <w:pPr>
      <w:spacing w:before="200" w:line="280" w:lineRule="atLeast"/>
    </w:pPr>
    <w:rPr>
      <w:rFonts w:ascii="Arial" w:hAnsi="Arial" w:cs="Arial"/>
      <w:szCs w:val="22"/>
      <w:lang w:val="en-AU" w:eastAsia="en-AU"/>
    </w:rPr>
  </w:style>
  <w:style w:type="paragraph" w:customStyle="1" w:styleId="PlainParagraph">
    <w:name w:val="Plain Paragraph"/>
    <w:basedOn w:val="NormalBase"/>
    <w:link w:val="PlainParagraphChar2"/>
  </w:style>
  <w:style w:type="paragraph" w:customStyle="1" w:styleId="HeaderBase">
    <w:name w:val="Header Base"/>
    <w:next w:val="Header"/>
    <w:semiHidden/>
    <w:pPr>
      <w:spacing w:line="200" w:lineRule="atLeast"/>
    </w:pPr>
    <w:rPr>
      <w:rFonts w:ascii="Arial" w:hAnsi="Arial" w:cs="Arial"/>
      <w:szCs w:val="22"/>
      <w:lang w:val="en-AU" w:eastAsia="en-AU"/>
    </w:rPr>
  </w:style>
  <w:style w:type="paragraph" w:customStyle="1" w:styleId="FooterBase">
    <w:name w:val="Footer Base"/>
    <w:next w:val="Footer"/>
    <w:semiHidden/>
    <w:pPr>
      <w:spacing w:line="200" w:lineRule="atLeast"/>
    </w:pPr>
    <w:rPr>
      <w:rFonts w:ascii="Arial" w:hAnsi="Arial" w:cs="Arial"/>
      <w:sz w:val="16"/>
      <w:szCs w:val="22"/>
      <w:lang w:val="en-AU" w:eastAsia="en-AU"/>
    </w:rPr>
  </w:style>
  <w:style w:type="paragraph" w:customStyle="1" w:styleId="1Reference">
    <w:name w:val="1. Reference"/>
    <w:basedOn w:val="PlainParagraph"/>
    <w:pPr>
      <w:spacing w:before="0" w:after="0" w:line="200" w:lineRule="atLeast"/>
    </w:pPr>
    <w:rPr>
      <w:sz w:val="20"/>
    </w:rPr>
  </w:style>
  <w:style w:type="paragraph" w:customStyle="1" w:styleId="2Date">
    <w:name w:val="2. Date"/>
    <w:basedOn w:val="PlainParagraph"/>
    <w:next w:val="3Address"/>
    <w:pPr>
      <w:spacing w:before="280" w:after="280"/>
    </w:pPr>
  </w:style>
  <w:style w:type="paragraph" w:customStyle="1" w:styleId="3Address">
    <w:name w:val="3. Address"/>
    <w:basedOn w:val="PlainParagraph"/>
    <w:pPr>
      <w:keepLines/>
      <w:widowControl w:val="0"/>
      <w:spacing w:before="0" w:after="0"/>
    </w:pPr>
  </w:style>
  <w:style w:type="paragraph" w:customStyle="1" w:styleId="4Addressee">
    <w:name w:val="4. Addressee"/>
    <w:basedOn w:val="PlainParagraph"/>
    <w:next w:val="SubjectTitle"/>
    <w:pPr>
      <w:keepLines/>
      <w:widowControl w:val="0"/>
      <w:spacing w:before="420" w:after="280"/>
    </w:pPr>
  </w:style>
  <w:style w:type="paragraph" w:customStyle="1" w:styleId="SubjectTitle">
    <w:name w:val="Subject/Title"/>
    <w:basedOn w:val="PlainParagraph"/>
    <w:next w:val="PlainParagraph"/>
    <w:pPr>
      <w:pBdr>
        <w:bottom w:val="single" w:sz="2" w:space="0" w:color="auto"/>
      </w:pBdr>
      <w:spacing w:before="0"/>
    </w:pPr>
    <w:rPr>
      <w:b/>
    </w:rPr>
  </w:style>
  <w:style w:type="paragraph" w:customStyle="1" w:styleId="Classificationlegalbody">
    <w:name w:val="Classification legal: body"/>
    <w:basedOn w:val="PlainParagraph"/>
    <w:next w:val="4Addressee"/>
    <w:semiHidden/>
    <w:pPr>
      <w:spacing w:before="420" w:after="0"/>
    </w:pPr>
    <w:rPr>
      <w:caps/>
      <w:sz w:val="20"/>
    </w:rPr>
  </w:style>
  <w:style w:type="paragraph" w:customStyle="1" w:styleId="Classificationlegalheader">
    <w:name w:val="Classification legal: header"/>
    <w:basedOn w:val="PlainParagraph"/>
    <w:semiHidden/>
    <w:pPr>
      <w:spacing w:before="0" w:after="0" w:line="200" w:lineRule="atLeast"/>
    </w:pPr>
    <w:rPr>
      <w:caps/>
      <w:sz w:val="20"/>
    </w:rPr>
  </w:style>
  <w:style w:type="paragraph" w:customStyle="1" w:styleId="Classificationsecurityheader">
    <w:name w:val="Classification security: header"/>
    <w:basedOn w:val="PlainParagraph"/>
    <w:semiHidden/>
    <w:pPr>
      <w:spacing w:before="280" w:after="0"/>
    </w:pPr>
    <w:rPr>
      <w:b/>
      <w:caps/>
      <w:color w:val="FFFFFF"/>
    </w:rPr>
  </w:style>
  <w:style w:type="paragraph" w:customStyle="1" w:styleId="Classificationsecurityfooter">
    <w:name w:val="Classification security: footer"/>
    <w:basedOn w:val="PlainParagraph"/>
    <w:semiHidden/>
    <w:pPr>
      <w:spacing w:after="0"/>
    </w:pPr>
    <w:rPr>
      <w:b/>
      <w:caps/>
      <w:color w:val="FFFFFF"/>
    </w:rPr>
  </w:style>
  <w:style w:type="paragraph" w:styleId="Footer">
    <w:name w:val="footer"/>
    <w:basedOn w:val="FooterBase"/>
    <w:link w:val="FooterChar1"/>
    <w:uiPriority w:val="99"/>
    <w:pPr>
      <w:tabs>
        <w:tab w:val="right" w:pos="8220"/>
      </w:tabs>
    </w:pPr>
  </w:style>
  <w:style w:type="paragraph" w:customStyle="1" w:styleId="FooterSubject">
    <w:name w:val="Footer Subject"/>
    <w:basedOn w:val="FooterBase"/>
    <w:semiHidden/>
    <w:pPr>
      <w:ind w:right="1417"/>
    </w:pPr>
  </w:style>
  <w:style w:type="paragraph" w:customStyle="1" w:styleId="FooterLandscape">
    <w:name w:val="Footer Landscape"/>
    <w:basedOn w:val="FooterBase"/>
    <w:semiHidden/>
    <w:pPr>
      <w:tabs>
        <w:tab w:val="right" w:pos="13175"/>
      </w:tabs>
    </w:pPr>
  </w:style>
  <w:style w:type="paragraph" w:styleId="Header">
    <w:name w:val="header"/>
    <w:basedOn w:val="HeaderBase"/>
    <w:link w:val="HeaderChar"/>
    <w:uiPriority w:val="99"/>
    <w:pPr>
      <w:tabs>
        <w:tab w:val="right" w:pos="8220"/>
      </w:tabs>
    </w:pPr>
  </w:style>
  <w:style w:type="paragraph" w:customStyle="1" w:styleId="HeaderLandscape">
    <w:name w:val="Header Landscape"/>
    <w:basedOn w:val="HeaderBase"/>
    <w:semiHidden/>
    <w:pPr>
      <w:tabs>
        <w:tab w:val="right" w:pos="13175"/>
      </w:tabs>
    </w:pPr>
  </w:style>
  <w:style w:type="paragraph" w:customStyle="1" w:styleId="DraftinHeader">
    <w:name w:val="Draft in Header"/>
    <w:basedOn w:val="HeaderBase"/>
    <w:semiHidden/>
    <w:pPr>
      <w:tabs>
        <w:tab w:val="right" w:pos="8220"/>
      </w:tabs>
    </w:pPr>
  </w:style>
  <w:style w:type="paragraph" w:customStyle="1" w:styleId="Sig1Salutation">
    <w:name w:val="Sig. 1 Salutation"/>
    <w:basedOn w:val="PlainParagraph"/>
    <w:pPr>
      <w:keepNext/>
      <w:widowControl w:val="0"/>
    </w:pPr>
  </w:style>
  <w:style w:type="paragraph" w:customStyle="1" w:styleId="Sig2Officer">
    <w:name w:val="Sig. 2 Officer"/>
    <w:basedOn w:val="PlainParagraph"/>
    <w:pPr>
      <w:keepNext/>
      <w:widowControl w:val="0"/>
      <w:tabs>
        <w:tab w:val="left" w:pos="4535"/>
      </w:tabs>
      <w:spacing w:before="0" w:after="0"/>
    </w:pPr>
    <w:rPr>
      <w:b/>
    </w:rPr>
  </w:style>
  <w:style w:type="paragraph" w:customStyle="1" w:styleId="Sig3Title">
    <w:name w:val="Sig. 3 Title"/>
    <w:basedOn w:val="PlainParagraph"/>
    <w:pPr>
      <w:keepNext/>
      <w:widowControl w:val="0"/>
      <w:tabs>
        <w:tab w:val="left" w:pos="4535"/>
      </w:tabs>
      <w:spacing w:before="0" w:after="0" w:line="240" w:lineRule="atLeast"/>
    </w:pPr>
    <w:rPr>
      <w:sz w:val="20"/>
    </w:rPr>
  </w:style>
  <w:style w:type="paragraph" w:customStyle="1" w:styleId="Sig4Contactdet">
    <w:name w:val="Sig. 4 Contact det"/>
    <w:basedOn w:val="PlainParagraph"/>
    <w:pPr>
      <w:keepNext/>
      <w:widowControl w:val="0"/>
      <w:tabs>
        <w:tab w:val="left" w:pos="4535"/>
      </w:tabs>
      <w:spacing w:before="20" w:after="0" w:line="240" w:lineRule="atLeast"/>
    </w:pPr>
    <w:rPr>
      <w:sz w:val="20"/>
    </w:rPr>
  </w:style>
  <w:style w:type="paragraph" w:customStyle="1" w:styleId="Sig5Email">
    <w:name w:val="Sig. 5 Email"/>
    <w:basedOn w:val="PlainParagraph"/>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pPr>
      <w:keepNext/>
      <w:keepLines/>
      <w:spacing w:before="0" w:after="420"/>
    </w:pPr>
    <w:rPr>
      <w:caps/>
    </w:rPr>
  </w:style>
  <w:style w:type="paragraph" w:customStyle="1" w:styleId="ContentsHeading">
    <w:name w:val="Contents Heading"/>
    <w:basedOn w:val="HeadingBase"/>
    <w:next w:val="PlainParagraph"/>
    <w:pPr>
      <w:keepNext/>
      <w:keepLines/>
      <w:spacing w:before="0" w:after="280"/>
    </w:pPr>
    <w:rPr>
      <w:b/>
      <w:caps/>
    </w:rPr>
  </w:style>
  <w:style w:type="paragraph" w:customStyle="1" w:styleId="Leg1SecHead1">
    <w:name w:val="Leg1 Sec Head: 1."/>
    <w:basedOn w:val="PlainParagraph"/>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pPr>
      <w:spacing w:before="60" w:after="60" w:line="260" w:lineRule="atLeast"/>
      <w:ind w:left="1276" w:right="567" w:hanging="425"/>
    </w:pPr>
    <w:rPr>
      <w:sz w:val="20"/>
    </w:rPr>
  </w:style>
  <w:style w:type="paragraph" w:customStyle="1" w:styleId="Leg5Paraa">
    <w:name w:val="Leg5 Para: (a)"/>
    <w:basedOn w:val="PlainParagraph"/>
    <w:pPr>
      <w:spacing w:before="60" w:after="60" w:line="260" w:lineRule="atLeast"/>
      <w:ind w:left="1843" w:right="567" w:hanging="567"/>
    </w:pPr>
    <w:rPr>
      <w:sz w:val="20"/>
    </w:rPr>
  </w:style>
  <w:style w:type="paragraph" w:customStyle="1" w:styleId="Leg6SubParai">
    <w:name w:val="Leg6 SubPara: (i)"/>
    <w:basedOn w:val="PlainParagraph"/>
    <w:pPr>
      <w:spacing w:before="60" w:after="60" w:line="260" w:lineRule="atLeast"/>
      <w:ind w:left="2409" w:right="567" w:hanging="567"/>
    </w:pPr>
    <w:rPr>
      <w:sz w:val="20"/>
    </w:rPr>
  </w:style>
  <w:style w:type="paragraph" w:customStyle="1" w:styleId="QAQuestion">
    <w:name w:val="Q&amp;A: Question"/>
    <w:basedOn w:val="PlainParagraph"/>
    <w:next w:val="QAAnswer"/>
    <w:pPr>
      <w:keepNext/>
      <w:widowControl w:val="0"/>
      <w:tabs>
        <w:tab w:val="left" w:pos="425"/>
        <w:tab w:val="left" w:pos="850"/>
      </w:tabs>
      <w:ind w:left="850" w:hanging="850"/>
    </w:pPr>
    <w:rPr>
      <w:i/>
    </w:rPr>
  </w:style>
  <w:style w:type="paragraph" w:customStyle="1" w:styleId="QAAnswer">
    <w:name w:val="Q&amp;A: Answer"/>
    <w:basedOn w:val="PlainParagraph"/>
    <w:next w:val="QAQuestion"/>
    <w:pPr>
      <w:tabs>
        <w:tab w:val="left" w:pos="425"/>
        <w:tab w:val="left" w:pos="850"/>
      </w:tabs>
      <w:spacing w:before="0"/>
      <w:ind w:left="850" w:hanging="850"/>
    </w:pPr>
  </w:style>
  <w:style w:type="paragraph" w:customStyle="1" w:styleId="QAText">
    <w:name w:val="Q&amp;A: Text"/>
    <w:basedOn w:val="PlainParagraph"/>
    <w:pPr>
      <w:keepNext/>
      <w:widowControl w:val="0"/>
      <w:ind w:left="425"/>
    </w:pPr>
    <w:rPr>
      <w:i/>
    </w:rPr>
  </w:style>
  <w:style w:type="paragraph" w:customStyle="1" w:styleId="Quotation">
    <w:name w:val="Quotation"/>
    <w:basedOn w:val="PlainParagraph"/>
    <w:semiHidden/>
    <w:pPr>
      <w:numPr>
        <w:numId w:val="1"/>
      </w:numPr>
      <w:spacing w:before="0" w:line="260" w:lineRule="atLeast"/>
    </w:pPr>
    <w:rPr>
      <w:sz w:val="20"/>
    </w:rPr>
  </w:style>
  <w:style w:type="paragraph" w:customStyle="1" w:styleId="Quotation1">
    <w:name w:val="Quotation 1"/>
    <w:basedOn w:val="PlainParagraph"/>
    <w:link w:val="Quotation1Char1"/>
    <w:pPr>
      <w:numPr>
        <w:ilvl w:val="1"/>
        <w:numId w:val="1"/>
      </w:numPr>
      <w:spacing w:before="0" w:line="260" w:lineRule="atLeast"/>
    </w:pPr>
    <w:rPr>
      <w:sz w:val="20"/>
    </w:rPr>
  </w:style>
  <w:style w:type="paragraph" w:customStyle="1" w:styleId="Quotation2">
    <w:name w:val="Quotation 2"/>
    <w:basedOn w:val="PlainParagraph"/>
    <w:semiHidden/>
    <w:pPr>
      <w:numPr>
        <w:ilvl w:val="2"/>
        <w:numId w:val="1"/>
      </w:numPr>
      <w:spacing w:before="0" w:line="260" w:lineRule="atLeast"/>
    </w:pPr>
    <w:rPr>
      <w:sz w:val="20"/>
    </w:rPr>
  </w:style>
  <w:style w:type="paragraph" w:customStyle="1" w:styleId="Quotation3">
    <w:name w:val="Quotation 3"/>
    <w:basedOn w:val="PlainParagraph"/>
    <w:semiHidden/>
    <w:pPr>
      <w:numPr>
        <w:ilvl w:val="3"/>
        <w:numId w:val="1"/>
      </w:numPr>
      <w:spacing w:before="0" w:line="260" w:lineRule="atLeast"/>
    </w:pPr>
    <w:rPr>
      <w:sz w:val="20"/>
    </w:rPr>
  </w:style>
  <w:style w:type="paragraph" w:customStyle="1" w:styleId="Quotation4">
    <w:name w:val="Quotation 4"/>
    <w:basedOn w:val="PlainParagraph"/>
    <w:semiHidden/>
    <w:pPr>
      <w:numPr>
        <w:ilvl w:val="4"/>
        <w:numId w:val="1"/>
      </w:numPr>
      <w:spacing w:before="0" w:line="260" w:lineRule="atLeast"/>
    </w:pPr>
    <w:rPr>
      <w:sz w:val="20"/>
    </w:rPr>
  </w:style>
  <w:style w:type="paragraph" w:customStyle="1" w:styleId="Quotation5">
    <w:name w:val="Quotation 5"/>
    <w:basedOn w:val="PlainParagraph"/>
    <w:semiHidden/>
    <w:pPr>
      <w:numPr>
        <w:ilvl w:val="5"/>
        <w:numId w:val="1"/>
      </w:numPr>
      <w:spacing w:before="0" w:line="260" w:lineRule="atLeast"/>
    </w:pPr>
    <w:rPr>
      <w:sz w:val="20"/>
    </w:rPr>
  </w:style>
  <w:style w:type="paragraph" w:customStyle="1" w:styleId="Quotation6">
    <w:name w:val="Quotation 6"/>
    <w:basedOn w:val="PlainParagraph"/>
    <w:semiHidden/>
    <w:pPr>
      <w:numPr>
        <w:ilvl w:val="6"/>
        <w:numId w:val="1"/>
      </w:numPr>
      <w:spacing w:before="0" w:line="260" w:lineRule="atLeast"/>
    </w:pPr>
    <w:rPr>
      <w:sz w:val="20"/>
    </w:rPr>
  </w:style>
  <w:style w:type="paragraph" w:customStyle="1" w:styleId="Quotation7">
    <w:name w:val="Quotation 7"/>
    <w:basedOn w:val="PlainParagraph"/>
    <w:semiHidden/>
    <w:pPr>
      <w:numPr>
        <w:ilvl w:val="7"/>
        <w:numId w:val="1"/>
      </w:numPr>
      <w:spacing w:before="0" w:line="260" w:lineRule="atLeast"/>
    </w:pPr>
    <w:rPr>
      <w:sz w:val="20"/>
    </w:rPr>
  </w:style>
  <w:style w:type="paragraph" w:customStyle="1" w:styleId="Quotation8">
    <w:name w:val="Quotation 8"/>
    <w:basedOn w:val="PlainParagraph"/>
    <w:semiHidden/>
    <w:pPr>
      <w:numPr>
        <w:ilvl w:val="8"/>
        <w:numId w:val="1"/>
      </w:numPr>
      <w:spacing w:before="0" w:line="260" w:lineRule="atLeast"/>
    </w:pPr>
    <w:rPr>
      <w:sz w:val="20"/>
    </w:rPr>
  </w:style>
  <w:style w:type="paragraph" w:customStyle="1" w:styleId="NumberLevel1">
    <w:name w:val="Number Level 1"/>
    <w:basedOn w:val="PlainParagraph"/>
    <w:link w:val="NumberLevel1Char1"/>
  </w:style>
  <w:style w:type="paragraph" w:customStyle="1" w:styleId="NumberLevel2">
    <w:name w:val="Number Level 2"/>
    <w:basedOn w:val="PlainParagraph"/>
    <w:link w:val="NumberLevel2Char"/>
  </w:style>
  <w:style w:type="paragraph" w:customStyle="1" w:styleId="NumberLevel3">
    <w:name w:val="Number Level 3"/>
    <w:basedOn w:val="PlainParagraph"/>
  </w:style>
  <w:style w:type="paragraph" w:customStyle="1" w:styleId="NumberLevel4">
    <w:name w:val="Number Level 4"/>
    <w:basedOn w:val="PlainParagraph"/>
    <w:pPr>
      <w:spacing w:before="0"/>
    </w:pPr>
  </w:style>
  <w:style w:type="paragraph" w:customStyle="1" w:styleId="NumberLevel5">
    <w:name w:val="Number Level 5"/>
    <w:basedOn w:val="PlainParagraph"/>
    <w:semiHidden/>
    <w:pPr>
      <w:spacing w:before="0"/>
    </w:pPr>
  </w:style>
  <w:style w:type="paragraph" w:customStyle="1" w:styleId="NumberLevel6">
    <w:name w:val="Number Level 6"/>
    <w:basedOn w:val="NumberLevel5"/>
    <w:semiHidden/>
  </w:style>
  <w:style w:type="paragraph" w:customStyle="1" w:styleId="NumberLevel7">
    <w:name w:val="Number Level 7"/>
    <w:basedOn w:val="NumberLevel6"/>
    <w:semiHidden/>
  </w:style>
  <w:style w:type="paragraph" w:customStyle="1" w:styleId="NumberLevel8">
    <w:name w:val="Number Level 8"/>
    <w:basedOn w:val="NumberLevel7"/>
    <w:semiHidden/>
  </w:style>
  <w:style w:type="paragraph" w:customStyle="1" w:styleId="NumberLevel9">
    <w:name w:val="Number Level 9"/>
    <w:basedOn w:val="NumberLevel8"/>
    <w:semiHidden/>
  </w:style>
  <w:style w:type="paragraph" w:customStyle="1" w:styleId="DashEm">
    <w:name w:val="Dash: Em"/>
    <w:basedOn w:val="PlainParagraph"/>
    <w:semiHidden/>
    <w:pPr>
      <w:numPr>
        <w:numId w:val="2"/>
      </w:numPr>
      <w:spacing w:before="0"/>
    </w:pPr>
  </w:style>
  <w:style w:type="paragraph" w:customStyle="1" w:styleId="DashEm1">
    <w:name w:val="Dash: Em 1"/>
    <w:basedOn w:val="PlainParagraph"/>
    <w:pPr>
      <w:numPr>
        <w:ilvl w:val="1"/>
        <w:numId w:val="2"/>
      </w:numPr>
      <w:spacing w:before="0"/>
    </w:pPr>
  </w:style>
  <w:style w:type="paragraph" w:customStyle="1" w:styleId="DashEn1">
    <w:name w:val="Dash: En 1"/>
    <w:basedOn w:val="DashEm"/>
    <w:pPr>
      <w:numPr>
        <w:ilvl w:val="2"/>
      </w:numPr>
    </w:pPr>
  </w:style>
  <w:style w:type="paragraph" w:customStyle="1" w:styleId="DashEn2">
    <w:name w:val="Dash: En 2"/>
    <w:basedOn w:val="DashEn1"/>
    <w:semiHidden/>
    <w:pPr>
      <w:numPr>
        <w:ilvl w:val="3"/>
      </w:numPr>
    </w:pPr>
  </w:style>
  <w:style w:type="paragraph" w:customStyle="1" w:styleId="DashEn3">
    <w:name w:val="Dash: En 3"/>
    <w:basedOn w:val="DashEn2"/>
    <w:semiHidden/>
    <w:pPr>
      <w:numPr>
        <w:ilvl w:val="4"/>
      </w:numPr>
    </w:pPr>
  </w:style>
  <w:style w:type="paragraph" w:customStyle="1" w:styleId="DashEn4">
    <w:name w:val="Dash: En 4"/>
    <w:basedOn w:val="DashEn3"/>
    <w:semiHidden/>
    <w:pPr>
      <w:numPr>
        <w:ilvl w:val="5"/>
      </w:numPr>
    </w:pPr>
  </w:style>
  <w:style w:type="paragraph" w:customStyle="1" w:styleId="DashEn5">
    <w:name w:val="Dash: En 5"/>
    <w:basedOn w:val="DashEn4"/>
    <w:semiHidden/>
    <w:pPr>
      <w:numPr>
        <w:ilvl w:val="6"/>
      </w:numPr>
    </w:pPr>
  </w:style>
  <w:style w:type="paragraph" w:customStyle="1" w:styleId="DashEn6">
    <w:name w:val="Dash: En 6"/>
    <w:basedOn w:val="DashEn5"/>
    <w:semiHidden/>
    <w:pPr>
      <w:numPr>
        <w:ilvl w:val="7"/>
      </w:numPr>
    </w:pPr>
  </w:style>
  <w:style w:type="paragraph" w:customStyle="1" w:styleId="DashEn7">
    <w:name w:val="Dash: En 7"/>
    <w:basedOn w:val="DashEn6"/>
    <w:semiHidden/>
    <w:pPr>
      <w:numPr>
        <w:ilvl w:val="8"/>
      </w:numPr>
    </w:pPr>
  </w:style>
  <w:style w:type="paragraph" w:customStyle="1" w:styleId="IndentHanging">
    <w:name w:val="Indent: Hanging"/>
    <w:basedOn w:val="PlainParagraph"/>
    <w:semiHidden/>
    <w:pPr>
      <w:numPr>
        <w:numId w:val="3"/>
      </w:numPr>
      <w:spacing w:before="0"/>
    </w:pPr>
  </w:style>
  <w:style w:type="paragraph" w:customStyle="1" w:styleId="IndentHanging1">
    <w:name w:val="Indent: Hanging 1"/>
    <w:basedOn w:val="IndentHanging"/>
    <w:pPr>
      <w:numPr>
        <w:ilvl w:val="1"/>
      </w:numPr>
    </w:pPr>
  </w:style>
  <w:style w:type="paragraph" w:customStyle="1" w:styleId="IndentHanging2">
    <w:name w:val="Indent: Hanging 2"/>
    <w:basedOn w:val="IndentHanging1"/>
    <w:semiHidden/>
    <w:pPr>
      <w:numPr>
        <w:ilvl w:val="2"/>
      </w:numPr>
    </w:pPr>
  </w:style>
  <w:style w:type="paragraph" w:customStyle="1" w:styleId="IndentHanging3">
    <w:name w:val="Indent: Hanging 3"/>
    <w:basedOn w:val="IndentHanging2"/>
    <w:semiHidden/>
    <w:pPr>
      <w:numPr>
        <w:ilvl w:val="3"/>
      </w:numPr>
    </w:pPr>
  </w:style>
  <w:style w:type="paragraph" w:customStyle="1" w:styleId="IndentHanging4">
    <w:name w:val="Indent: Hanging 4"/>
    <w:basedOn w:val="IndentHanging3"/>
    <w:semiHidden/>
    <w:pPr>
      <w:numPr>
        <w:ilvl w:val="4"/>
      </w:numPr>
    </w:pPr>
  </w:style>
  <w:style w:type="paragraph" w:customStyle="1" w:styleId="IndentHanging5">
    <w:name w:val="Indent: Hanging 5"/>
    <w:basedOn w:val="IndentHanging4"/>
    <w:semiHidden/>
    <w:pPr>
      <w:numPr>
        <w:ilvl w:val="5"/>
      </w:numPr>
    </w:pPr>
  </w:style>
  <w:style w:type="paragraph" w:customStyle="1" w:styleId="IndentHanging6">
    <w:name w:val="Indent: Hanging 6"/>
    <w:basedOn w:val="IndentHanging5"/>
    <w:semiHidden/>
    <w:pPr>
      <w:numPr>
        <w:ilvl w:val="6"/>
      </w:numPr>
    </w:pPr>
  </w:style>
  <w:style w:type="paragraph" w:customStyle="1" w:styleId="IndentHanging7">
    <w:name w:val="Indent: Hanging 7"/>
    <w:basedOn w:val="IndentHanging6"/>
    <w:semiHidden/>
    <w:pPr>
      <w:numPr>
        <w:ilvl w:val="7"/>
      </w:numPr>
    </w:pPr>
  </w:style>
  <w:style w:type="paragraph" w:customStyle="1" w:styleId="IndentHanging8">
    <w:name w:val="Indent: Hanging 8"/>
    <w:basedOn w:val="IndentHanging7"/>
    <w:semiHidden/>
    <w:pPr>
      <w:numPr>
        <w:ilvl w:val="8"/>
      </w:numPr>
    </w:pPr>
  </w:style>
  <w:style w:type="paragraph" w:customStyle="1" w:styleId="IndentFull">
    <w:name w:val="Indent: Full"/>
    <w:basedOn w:val="PlainParagraph"/>
    <w:semiHidden/>
    <w:pPr>
      <w:numPr>
        <w:numId w:val="4"/>
      </w:numPr>
      <w:spacing w:before="0"/>
    </w:pPr>
  </w:style>
  <w:style w:type="paragraph" w:customStyle="1" w:styleId="IndentFull1">
    <w:name w:val="Indent: Full 1"/>
    <w:basedOn w:val="IndentFull"/>
    <w:pPr>
      <w:numPr>
        <w:ilvl w:val="1"/>
      </w:numPr>
    </w:pPr>
  </w:style>
  <w:style w:type="paragraph" w:customStyle="1" w:styleId="IndentFull2">
    <w:name w:val="Indent: Full 2"/>
    <w:basedOn w:val="IndentFull1"/>
    <w:semiHidden/>
    <w:pPr>
      <w:numPr>
        <w:ilvl w:val="2"/>
      </w:numPr>
    </w:pPr>
  </w:style>
  <w:style w:type="paragraph" w:customStyle="1" w:styleId="IndentFull3">
    <w:name w:val="Indent: Full 3"/>
    <w:basedOn w:val="IndentFull2"/>
    <w:semiHidden/>
    <w:pPr>
      <w:numPr>
        <w:ilvl w:val="3"/>
      </w:numPr>
    </w:pPr>
  </w:style>
  <w:style w:type="paragraph" w:customStyle="1" w:styleId="IndentFull4">
    <w:name w:val="Indent: Full 4"/>
    <w:basedOn w:val="IndentFull3"/>
    <w:semiHidden/>
    <w:pPr>
      <w:numPr>
        <w:ilvl w:val="4"/>
      </w:numPr>
    </w:pPr>
  </w:style>
  <w:style w:type="paragraph" w:customStyle="1" w:styleId="IndentFull5">
    <w:name w:val="Indent: Full 5"/>
    <w:basedOn w:val="IndentFull4"/>
    <w:semiHidden/>
    <w:pPr>
      <w:numPr>
        <w:ilvl w:val="5"/>
      </w:numPr>
    </w:pPr>
  </w:style>
  <w:style w:type="paragraph" w:customStyle="1" w:styleId="IndentFull6">
    <w:name w:val="Indent: Full 6"/>
    <w:basedOn w:val="IndentFull5"/>
    <w:semiHidden/>
    <w:pPr>
      <w:numPr>
        <w:ilvl w:val="6"/>
      </w:numPr>
    </w:pPr>
  </w:style>
  <w:style w:type="paragraph" w:customStyle="1" w:styleId="IndentFull7">
    <w:name w:val="Indent: Full 7"/>
    <w:basedOn w:val="IndentFull6"/>
    <w:semiHidden/>
    <w:pPr>
      <w:numPr>
        <w:ilvl w:val="7"/>
      </w:numPr>
    </w:pPr>
  </w:style>
  <w:style w:type="paragraph" w:customStyle="1" w:styleId="IndentFull8">
    <w:name w:val="Indent: Full 8"/>
    <w:basedOn w:val="IndentFull7"/>
    <w:semiHidden/>
    <w:pPr>
      <w:numPr>
        <w:ilvl w:val="8"/>
      </w:numPr>
    </w:pPr>
  </w:style>
  <w:style w:type="paragraph" w:customStyle="1" w:styleId="NumberedList1">
    <w:name w:val="Numbered List: 1)"/>
    <w:basedOn w:val="PlainParagraph"/>
    <w:semiHidden/>
    <w:pPr>
      <w:numPr>
        <w:numId w:val="5"/>
      </w:numPr>
      <w:spacing w:before="0"/>
    </w:pPr>
  </w:style>
  <w:style w:type="paragraph" w:customStyle="1" w:styleId="NumberedList11">
    <w:name w:val="Numbered List: 1) 1"/>
    <w:basedOn w:val="NumberedList1"/>
    <w:pPr>
      <w:numPr>
        <w:ilvl w:val="1"/>
      </w:numPr>
    </w:pPr>
  </w:style>
  <w:style w:type="paragraph" w:customStyle="1" w:styleId="NumberedList12">
    <w:name w:val="Numbered List: 1) 2"/>
    <w:basedOn w:val="NumberedList11"/>
    <w:semiHidden/>
    <w:pPr>
      <w:numPr>
        <w:ilvl w:val="2"/>
      </w:numPr>
    </w:pPr>
  </w:style>
  <w:style w:type="paragraph" w:customStyle="1" w:styleId="NumberedList13">
    <w:name w:val="Numbered List: 1) 3"/>
    <w:basedOn w:val="NumberedList12"/>
    <w:semiHidden/>
    <w:pPr>
      <w:numPr>
        <w:ilvl w:val="3"/>
      </w:numPr>
    </w:pPr>
  </w:style>
  <w:style w:type="paragraph" w:customStyle="1" w:styleId="NumberedList14">
    <w:name w:val="Numbered List: 1) 4"/>
    <w:basedOn w:val="NumberedList13"/>
    <w:semiHidden/>
    <w:pPr>
      <w:numPr>
        <w:ilvl w:val="4"/>
      </w:numPr>
    </w:pPr>
  </w:style>
  <w:style w:type="paragraph" w:customStyle="1" w:styleId="NumberedList15">
    <w:name w:val="Numbered List: 1) 5"/>
    <w:basedOn w:val="NumberedList14"/>
    <w:semiHidden/>
    <w:pPr>
      <w:numPr>
        <w:ilvl w:val="5"/>
      </w:numPr>
    </w:pPr>
  </w:style>
  <w:style w:type="paragraph" w:customStyle="1" w:styleId="NumberedList16">
    <w:name w:val="Numbered List: 1) 6"/>
    <w:basedOn w:val="NumberedList15"/>
    <w:semiHidden/>
    <w:pPr>
      <w:numPr>
        <w:ilvl w:val="6"/>
      </w:numPr>
    </w:pPr>
  </w:style>
  <w:style w:type="paragraph" w:customStyle="1" w:styleId="NumberedList17">
    <w:name w:val="Numbered List: 1) 7"/>
    <w:basedOn w:val="NumberedList16"/>
    <w:semiHidden/>
    <w:pPr>
      <w:numPr>
        <w:ilvl w:val="7"/>
      </w:numPr>
    </w:pPr>
  </w:style>
  <w:style w:type="paragraph" w:customStyle="1" w:styleId="NumberedList18">
    <w:name w:val="Numbered List: 1) 8"/>
    <w:basedOn w:val="NumberedList17"/>
    <w:semiHidden/>
    <w:pPr>
      <w:numPr>
        <w:ilvl w:val="8"/>
      </w:numPr>
    </w:pPr>
  </w:style>
  <w:style w:type="paragraph" w:customStyle="1" w:styleId="NumberedLista">
    <w:name w:val="Numbered List: a)"/>
    <w:basedOn w:val="PlainParagraph"/>
    <w:semiHidden/>
    <w:pPr>
      <w:numPr>
        <w:numId w:val="6"/>
      </w:numPr>
      <w:spacing w:before="0"/>
    </w:pPr>
  </w:style>
  <w:style w:type="paragraph" w:customStyle="1" w:styleId="NumberedLista1">
    <w:name w:val="Numbered List: a) 1"/>
    <w:basedOn w:val="NumberedLista"/>
    <w:pPr>
      <w:numPr>
        <w:ilvl w:val="1"/>
      </w:numPr>
    </w:pPr>
  </w:style>
  <w:style w:type="paragraph" w:customStyle="1" w:styleId="NumberedLista2">
    <w:name w:val="Numbered List: a) 2"/>
    <w:basedOn w:val="NumberedLista1"/>
    <w:semiHidden/>
    <w:pPr>
      <w:numPr>
        <w:ilvl w:val="2"/>
      </w:numPr>
    </w:pPr>
  </w:style>
  <w:style w:type="paragraph" w:customStyle="1" w:styleId="NumberedLista3">
    <w:name w:val="Numbered List: a) 3"/>
    <w:basedOn w:val="NumberedLista2"/>
    <w:semiHidden/>
    <w:pPr>
      <w:numPr>
        <w:ilvl w:val="3"/>
      </w:numPr>
    </w:pPr>
  </w:style>
  <w:style w:type="paragraph" w:customStyle="1" w:styleId="NumberedLista4">
    <w:name w:val="Numbered List: a) 4"/>
    <w:basedOn w:val="NumberedLista3"/>
    <w:semiHidden/>
    <w:pPr>
      <w:numPr>
        <w:ilvl w:val="4"/>
      </w:numPr>
    </w:pPr>
  </w:style>
  <w:style w:type="paragraph" w:customStyle="1" w:styleId="NumberedLista5">
    <w:name w:val="Numbered List: a) 5"/>
    <w:basedOn w:val="NumberedLista4"/>
    <w:semiHidden/>
    <w:pPr>
      <w:numPr>
        <w:ilvl w:val="5"/>
      </w:numPr>
    </w:pPr>
  </w:style>
  <w:style w:type="paragraph" w:customStyle="1" w:styleId="NumberedLista6">
    <w:name w:val="Numbered List: a) 6"/>
    <w:basedOn w:val="NumberedLista5"/>
    <w:semiHidden/>
    <w:pPr>
      <w:numPr>
        <w:ilvl w:val="6"/>
      </w:numPr>
    </w:pPr>
  </w:style>
  <w:style w:type="paragraph" w:customStyle="1" w:styleId="NumberedLista7">
    <w:name w:val="Numbered List: a) 7"/>
    <w:basedOn w:val="NumberedLista6"/>
    <w:semiHidden/>
    <w:pPr>
      <w:numPr>
        <w:ilvl w:val="7"/>
      </w:numPr>
    </w:pPr>
  </w:style>
  <w:style w:type="paragraph" w:customStyle="1" w:styleId="NumberedLista8">
    <w:name w:val="Numbered List: a) 8"/>
    <w:basedOn w:val="NumberedLista7"/>
    <w:semiHidden/>
    <w:pPr>
      <w:numPr>
        <w:ilvl w:val="8"/>
      </w:numPr>
    </w:pPr>
  </w:style>
  <w:style w:type="paragraph" w:styleId="FootnoteText">
    <w:name w:val="footnote text"/>
    <w:basedOn w:val="PlainParagraph"/>
    <w:link w:val="FootnoteTextChar"/>
    <w:uiPriority w:val="99"/>
    <w:semiHidden/>
    <w:pPr>
      <w:tabs>
        <w:tab w:val="left" w:pos="425"/>
      </w:tabs>
      <w:spacing w:before="0" w:after="60" w:line="240" w:lineRule="auto"/>
      <w:ind w:left="425" w:right="567" w:hanging="425"/>
    </w:pPr>
    <w:rPr>
      <w:sz w:val="18"/>
      <w:szCs w:val="20"/>
    </w:rPr>
  </w:style>
  <w:style w:type="paragraph" w:styleId="EndnoteText">
    <w:name w:val="endnote text"/>
    <w:basedOn w:val="PlainParagraph"/>
    <w:semiHidden/>
    <w:pPr>
      <w:tabs>
        <w:tab w:val="left" w:pos="425"/>
      </w:tabs>
      <w:spacing w:before="0" w:after="60" w:line="240" w:lineRule="auto"/>
      <w:ind w:left="425" w:hanging="425"/>
    </w:pPr>
    <w:rPr>
      <w:sz w:val="18"/>
      <w:szCs w:val="20"/>
    </w:rPr>
  </w:style>
  <w:style w:type="character" w:styleId="FootnoteReference">
    <w:name w:val="footnote reference"/>
    <w:uiPriority w:val="99"/>
    <w:semiHidden/>
    <w:rPr>
      <w:rFonts w:ascii="Arial" w:hAnsi="Arial" w:cs="Arial"/>
      <w:b w:val="0"/>
      <w:i w:val="0"/>
      <w:sz w:val="22"/>
      <w:vertAlign w:val="superscript"/>
    </w:rPr>
  </w:style>
  <w:style w:type="character" w:styleId="EndnoteReference">
    <w:name w:val="endnote reference"/>
    <w:semiHidden/>
    <w:rPr>
      <w:rFonts w:ascii="Arial" w:hAnsi="Arial" w:cs="Arial"/>
      <w:b w:val="0"/>
      <w:i w:val="0"/>
      <w:sz w:val="22"/>
      <w:vertAlign w:val="superscript"/>
    </w:rPr>
  </w:style>
  <w:style w:type="character" w:styleId="PageNumber">
    <w:name w:val="page number"/>
    <w:semiHidden/>
    <w:rPr>
      <w:rFonts w:ascii="Arial" w:hAnsi="Arial" w:cs="Arial"/>
      <w:b w:val="0"/>
      <w:i w:val="0"/>
      <w:sz w:val="16"/>
    </w:rPr>
  </w:style>
  <w:style w:type="character" w:styleId="Hyperlink">
    <w:name w:val="Hyperlink"/>
    <w:uiPriority w:val="99"/>
    <w:rsid w:val="00574443"/>
    <w:rPr>
      <w:rFonts w:ascii="Arial" w:hAnsi="Arial" w:cs="Arial"/>
      <w:noProof/>
      <w:color w:val="0000FF"/>
      <w:u w:val="single"/>
    </w:rPr>
  </w:style>
  <w:style w:type="paragraph" w:styleId="TOC1">
    <w:name w:val="toc 1"/>
    <w:next w:val="Normal"/>
    <w:autoRedefine/>
    <w:uiPriority w:val="39"/>
    <w:pPr>
      <w:spacing w:before="360"/>
    </w:pPr>
    <w:rPr>
      <w:rFonts w:ascii="Arial" w:hAnsi="Arial" w:cs="Arial"/>
      <w:b/>
      <w:bCs/>
      <w:caps/>
      <w:sz w:val="24"/>
      <w:szCs w:val="24"/>
      <w:lang w:val="en-AU" w:eastAsia="en-AU"/>
    </w:rPr>
  </w:style>
  <w:style w:type="paragraph" w:styleId="TOC2">
    <w:name w:val="toc 2"/>
    <w:basedOn w:val="TOC1"/>
    <w:next w:val="Normal"/>
    <w:autoRedefine/>
    <w:uiPriority w:val="39"/>
    <w:rsid w:val="00FE374D"/>
    <w:pPr>
      <w:spacing w:before="0"/>
    </w:pPr>
    <w:rPr>
      <w:rFonts w:cs="Times New Roman"/>
      <w:b w:val="0"/>
      <w:caps w:val="0"/>
      <w:sz w:val="20"/>
      <w:szCs w:val="20"/>
    </w:rPr>
  </w:style>
  <w:style w:type="paragraph" w:styleId="TOC3">
    <w:name w:val="toc 3"/>
    <w:basedOn w:val="TOC2"/>
    <w:next w:val="Normal"/>
    <w:uiPriority w:val="39"/>
    <w:pPr>
      <w:ind w:left="220"/>
    </w:pPr>
    <w:rPr>
      <w:b/>
      <w:bCs w:val="0"/>
    </w:rPr>
  </w:style>
  <w:style w:type="paragraph" w:customStyle="1" w:styleId="Notes-client">
    <w:name w:val="Notes - client"/>
    <w:basedOn w:val="PlainParagraph"/>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Pr>
      <w:vanish/>
      <w:color w:val="0000FF"/>
    </w:rPr>
  </w:style>
  <w:style w:type="paragraph" w:customStyle="1" w:styleId="TablePlainParagraph">
    <w:name w:val="Table: Plain Paragraph"/>
    <w:basedOn w:val="PlainParagraph"/>
    <w:pPr>
      <w:spacing w:before="60" w:after="60" w:line="240" w:lineRule="atLeast"/>
    </w:pPr>
    <w:rPr>
      <w:sz w:val="20"/>
    </w:rPr>
  </w:style>
  <w:style w:type="paragraph" w:customStyle="1" w:styleId="TableHeading1">
    <w:name w:val="Table: Heading 1"/>
    <w:basedOn w:val="PlainParagraph"/>
    <w:pPr>
      <w:keepNext/>
      <w:keepLines/>
      <w:spacing w:before="60" w:after="0" w:line="240" w:lineRule="atLeast"/>
    </w:pPr>
    <w:rPr>
      <w:b/>
      <w:caps/>
      <w:sz w:val="20"/>
    </w:rPr>
  </w:style>
  <w:style w:type="paragraph" w:customStyle="1" w:styleId="TableHeading2">
    <w:name w:val="Table: Heading 2"/>
    <w:basedOn w:val="HeadingBase"/>
    <w:next w:val="TablePlainParagraph"/>
    <w:pPr>
      <w:keepNext/>
      <w:keepLines/>
      <w:spacing w:before="60" w:line="240" w:lineRule="atLeast"/>
    </w:pPr>
    <w:rPr>
      <w:b/>
    </w:rPr>
  </w:style>
  <w:style w:type="paragraph" w:customStyle="1" w:styleId="TableHeading3">
    <w:name w:val="Table: Heading 3"/>
    <w:basedOn w:val="HeadingBase"/>
    <w:next w:val="TablePlainParagraph"/>
    <w:pPr>
      <w:keepNext/>
      <w:keepLines/>
      <w:spacing w:before="60" w:line="240" w:lineRule="atLeast"/>
    </w:pPr>
    <w:rPr>
      <w:b/>
      <w:i/>
    </w:rPr>
  </w:style>
  <w:style w:type="paragraph" w:customStyle="1" w:styleId="TableHeading4">
    <w:name w:val="Table: Heading 4"/>
    <w:basedOn w:val="HeadingBase"/>
    <w:next w:val="TablePlainParagraph"/>
    <w:pPr>
      <w:keepNext/>
      <w:keepLines/>
      <w:spacing w:before="60" w:line="240" w:lineRule="atLeast"/>
    </w:pPr>
    <w:rPr>
      <w:i/>
    </w:rPr>
  </w:style>
  <w:style w:type="paragraph" w:customStyle="1" w:styleId="TableHeading5">
    <w:name w:val="Table: Heading 5"/>
    <w:basedOn w:val="HeadingBase"/>
    <w:next w:val="TablePlainParagraph"/>
    <w:pPr>
      <w:keepNext/>
      <w:keepLines/>
      <w:spacing w:before="60" w:line="240" w:lineRule="atLeast"/>
    </w:pPr>
    <w:rPr>
      <w:b/>
      <w:sz w:val="18"/>
    </w:rPr>
  </w:style>
  <w:style w:type="paragraph" w:customStyle="1" w:styleId="TableQAQuestion">
    <w:name w:val="Table: Q&amp;A: Question"/>
    <w:basedOn w:val="TablePlainParagraph"/>
    <w:next w:val="TableQAAnswer"/>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pPr>
      <w:tabs>
        <w:tab w:val="left" w:pos="283"/>
        <w:tab w:val="left" w:pos="567"/>
      </w:tabs>
      <w:spacing w:before="0"/>
      <w:ind w:left="283" w:hanging="283"/>
    </w:pPr>
  </w:style>
  <w:style w:type="paragraph" w:customStyle="1" w:styleId="TableQAText">
    <w:name w:val="Table: Q&amp;A: Text"/>
    <w:basedOn w:val="TablePlainParagraph"/>
    <w:pPr>
      <w:keepNext/>
      <w:widowControl w:val="0"/>
      <w:ind w:left="283" w:hanging="283"/>
    </w:pPr>
    <w:rPr>
      <w:i/>
    </w:rPr>
  </w:style>
  <w:style w:type="paragraph" w:customStyle="1" w:styleId="TableNumberLevel1">
    <w:name w:val="Table: Number Level 1"/>
    <w:basedOn w:val="TablePlainParagraph"/>
    <w:pPr>
      <w:numPr>
        <w:numId w:val="7"/>
      </w:numPr>
    </w:pPr>
  </w:style>
  <w:style w:type="paragraph" w:customStyle="1" w:styleId="TableNumberLevel2">
    <w:name w:val="Table: Number Level 2"/>
    <w:basedOn w:val="TablePlainParagraph"/>
    <w:pPr>
      <w:numPr>
        <w:ilvl w:val="1"/>
        <w:numId w:val="7"/>
      </w:numPr>
    </w:pPr>
  </w:style>
  <w:style w:type="paragraph" w:customStyle="1" w:styleId="TableNumberLevel3">
    <w:name w:val="Table: Number Level 3"/>
    <w:basedOn w:val="TablePlainParagraph"/>
    <w:pPr>
      <w:numPr>
        <w:ilvl w:val="2"/>
        <w:numId w:val="7"/>
      </w:numPr>
    </w:pPr>
  </w:style>
  <w:style w:type="paragraph" w:customStyle="1" w:styleId="TableNumberLevel4">
    <w:name w:val="Table: Number Level 4"/>
    <w:basedOn w:val="TablePlainParagraph"/>
    <w:pPr>
      <w:numPr>
        <w:ilvl w:val="3"/>
        <w:numId w:val="7"/>
      </w:numPr>
      <w:spacing w:before="0"/>
    </w:pPr>
  </w:style>
  <w:style w:type="paragraph" w:customStyle="1" w:styleId="TableNumberLevel5">
    <w:name w:val="Table: Number Level 5"/>
    <w:basedOn w:val="TablePlainParagraph"/>
    <w:semiHidden/>
    <w:pPr>
      <w:numPr>
        <w:ilvl w:val="4"/>
        <w:numId w:val="7"/>
      </w:numPr>
      <w:spacing w:before="0"/>
    </w:pPr>
  </w:style>
  <w:style w:type="paragraph" w:customStyle="1" w:styleId="TableNumberLevel6">
    <w:name w:val="Table: Number Level 6"/>
    <w:basedOn w:val="TablePlainParagraph"/>
    <w:semiHidden/>
    <w:pPr>
      <w:numPr>
        <w:ilvl w:val="5"/>
        <w:numId w:val="7"/>
      </w:numPr>
      <w:spacing w:before="0"/>
    </w:pPr>
  </w:style>
  <w:style w:type="paragraph" w:customStyle="1" w:styleId="TableNumberLevel7">
    <w:name w:val="Table: Number Level 7"/>
    <w:basedOn w:val="TablePlainParagraph"/>
    <w:semiHidden/>
    <w:pPr>
      <w:numPr>
        <w:ilvl w:val="6"/>
        <w:numId w:val="7"/>
      </w:numPr>
      <w:spacing w:before="0"/>
    </w:pPr>
  </w:style>
  <w:style w:type="paragraph" w:customStyle="1" w:styleId="TableNumberLevel8">
    <w:name w:val="Table: Number Level 8"/>
    <w:basedOn w:val="TablePlainParagraph"/>
    <w:semiHidden/>
    <w:pPr>
      <w:numPr>
        <w:ilvl w:val="7"/>
        <w:numId w:val="7"/>
      </w:numPr>
      <w:spacing w:before="0"/>
    </w:pPr>
  </w:style>
  <w:style w:type="paragraph" w:customStyle="1" w:styleId="TableNumberLevel9">
    <w:name w:val="Table: Number Level 9"/>
    <w:basedOn w:val="TablePlainParagraph"/>
    <w:semiHidden/>
    <w:pPr>
      <w:numPr>
        <w:ilvl w:val="8"/>
        <w:numId w:val="7"/>
      </w:numPr>
      <w:spacing w:before="0"/>
    </w:pPr>
  </w:style>
  <w:style w:type="paragraph" w:customStyle="1" w:styleId="TableDashEm">
    <w:name w:val="Table: Dash: Em"/>
    <w:basedOn w:val="TablePlainParagraph"/>
    <w:semiHidden/>
    <w:pPr>
      <w:numPr>
        <w:numId w:val="8"/>
      </w:numPr>
      <w:spacing w:before="0"/>
    </w:pPr>
  </w:style>
  <w:style w:type="paragraph" w:customStyle="1" w:styleId="TableDashEm1">
    <w:name w:val="Table: Dash: Em 1"/>
    <w:basedOn w:val="TablePlainParagraph"/>
    <w:pPr>
      <w:numPr>
        <w:ilvl w:val="1"/>
        <w:numId w:val="8"/>
      </w:numPr>
      <w:spacing w:before="0"/>
    </w:pPr>
  </w:style>
  <w:style w:type="paragraph" w:customStyle="1" w:styleId="TableDashEn1">
    <w:name w:val="Table: Dash: En 1"/>
    <w:basedOn w:val="TablePlainParagraph"/>
    <w:pPr>
      <w:numPr>
        <w:ilvl w:val="2"/>
        <w:numId w:val="8"/>
      </w:numPr>
      <w:spacing w:before="0"/>
    </w:pPr>
  </w:style>
  <w:style w:type="paragraph" w:customStyle="1" w:styleId="TableDashEn2">
    <w:name w:val="Table: Dash: En 2"/>
    <w:basedOn w:val="TablePlainParagraph"/>
    <w:semiHidden/>
    <w:pPr>
      <w:numPr>
        <w:ilvl w:val="3"/>
        <w:numId w:val="8"/>
      </w:numPr>
      <w:spacing w:before="0"/>
    </w:pPr>
  </w:style>
  <w:style w:type="paragraph" w:customStyle="1" w:styleId="TableDashEn3">
    <w:name w:val="Table: Dash: En 3"/>
    <w:basedOn w:val="TablePlainParagraph"/>
    <w:semiHidden/>
    <w:pPr>
      <w:numPr>
        <w:ilvl w:val="4"/>
        <w:numId w:val="8"/>
      </w:numPr>
      <w:spacing w:before="0"/>
    </w:pPr>
  </w:style>
  <w:style w:type="paragraph" w:customStyle="1" w:styleId="TableDashEn4">
    <w:name w:val="Table: Dash: En 4"/>
    <w:basedOn w:val="TablePlainParagraph"/>
    <w:semiHidden/>
    <w:pPr>
      <w:numPr>
        <w:ilvl w:val="5"/>
        <w:numId w:val="8"/>
      </w:numPr>
      <w:spacing w:before="0"/>
    </w:pPr>
  </w:style>
  <w:style w:type="paragraph" w:customStyle="1" w:styleId="TableDashEn5">
    <w:name w:val="Table: Dash: En 5"/>
    <w:basedOn w:val="TablePlainParagraph"/>
    <w:semiHidden/>
    <w:pPr>
      <w:numPr>
        <w:ilvl w:val="6"/>
        <w:numId w:val="8"/>
      </w:numPr>
      <w:spacing w:before="0"/>
    </w:pPr>
  </w:style>
  <w:style w:type="paragraph" w:customStyle="1" w:styleId="TableDashEn6">
    <w:name w:val="Table: Dash: En 6"/>
    <w:basedOn w:val="TablePlainParagraph"/>
    <w:semiHidden/>
    <w:pPr>
      <w:numPr>
        <w:ilvl w:val="7"/>
        <w:numId w:val="8"/>
      </w:numPr>
      <w:spacing w:before="0"/>
    </w:pPr>
  </w:style>
  <w:style w:type="paragraph" w:customStyle="1" w:styleId="TableDashEn7">
    <w:name w:val="Table: Dash: En 7"/>
    <w:basedOn w:val="TablePlainParagraph"/>
    <w:semiHidden/>
    <w:pPr>
      <w:numPr>
        <w:ilvl w:val="8"/>
        <w:numId w:val="8"/>
      </w:numPr>
      <w:spacing w:before="0"/>
    </w:pPr>
  </w:style>
  <w:style w:type="paragraph" w:customStyle="1" w:styleId="TableIndentHanging">
    <w:name w:val="Table: Indent: Hanging"/>
    <w:basedOn w:val="TablePlainParagraph"/>
    <w:semiHidden/>
    <w:pPr>
      <w:numPr>
        <w:numId w:val="9"/>
      </w:numPr>
      <w:tabs>
        <w:tab w:val="left" w:pos="283"/>
      </w:tabs>
      <w:spacing w:before="0"/>
    </w:pPr>
  </w:style>
  <w:style w:type="paragraph" w:customStyle="1" w:styleId="TableIndentHanging1">
    <w:name w:val="Table: Indent: Hanging 1"/>
    <w:basedOn w:val="TablePlainParagraph"/>
    <w:pPr>
      <w:numPr>
        <w:ilvl w:val="1"/>
        <w:numId w:val="9"/>
      </w:numPr>
      <w:tabs>
        <w:tab w:val="left" w:pos="283"/>
      </w:tabs>
      <w:spacing w:before="0"/>
    </w:pPr>
  </w:style>
  <w:style w:type="paragraph" w:customStyle="1" w:styleId="TableIndentHanging2">
    <w:name w:val="Table: Indent: Hanging 2"/>
    <w:basedOn w:val="TablePlainParagraph"/>
    <w:semiHidden/>
    <w:pPr>
      <w:numPr>
        <w:ilvl w:val="2"/>
        <w:numId w:val="9"/>
      </w:numPr>
      <w:tabs>
        <w:tab w:val="left" w:pos="567"/>
      </w:tabs>
      <w:spacing w:before="0"/>
    </w:pPr>
  </w:style>
  <w:style w:type="paragraph" w:customStyle="1" w:styleId="TableIndentHanging3">
    <w:name w:val="Table: Indent: Hanging 3"/>
    <w:basedOn w:val="TablePlainParagraph"/>
    <w:semiHidden/>
    <w:pPr>
      <w:numPr>
        <w:ilvl w:val="3"/>
        <w:numId w:val="9"/>
      </w:numPr>
      <w:tabs>
        <w:tab w:val="left" w:pos="850"/>
      </w:tabs>
      <w:spacing w:before="0"/>
    </w:pPr>
  </w:style>
  <w:style w:type="paragraph" w:customStyle="1" w:styleId="TableIndentHanging4">
    <w:name w:val="Table: Indent: Hanging 4"/>
    <w:basedOn w:val="TablePlainParagraph"/>
    <w:semiHidden/>
    <w:pPr>
      <w:numPr>
        <w:ilvl w:val="4"/>
        <w:numId w:val="9"/>
      </w:numPr>
      <w:tabs>
        <w:tab w:val="left" w:pos="1134"/>
      </w:tabs>
      <w:spacing w:before="0"/>
    </w:pPr>
  </w:style>
  <w:style w:type="paragraph" w:customStyle="1" w:styleId="TableIndentHanging5">
    <w:name w:val="Table: Indent: Hanging 5"/>
    <w:basedOn w:val="TablePlainParagraph"/>
    <w:semiHidden/>
    <w:pPr>
      <w:numPr>
        <w:ilvl w:val="5"/>
        <w:numId w:val="9"/>
      </w:numPr>
      <w:tabs>
        <w:tab w:val="left" w:pos="1417"/>
      </w:tabs>
      <w:spacing w:before="0"/>
    </w:pPr>
  </w:style>
  <w:style w:type="paragraph" w:customStyle="1" w:styleId="TableIndentHanging6">
    <w:name w:val="Table: Indent: Hanging 6"/>
    <w:basedOn w:val="TablePlainParagraph"/>
    <w:semiHidden/>
    <w:pPr>
      <w:numPr>
        <w:ilvl w:val="6"/>
        <w:numId w:val="9"/>
      </w:numPr>
      <w:tabs>
        <w:tab w:val="left" w:pos="1701"/>
      </w:tabs>
      <w:spacing w:before="0"/>
    </w:pPr>
  </w:style>
  <w:style w:type="paragraph" w:customStyle="1" w:styleId="TableIndentHanging7">
    <w:name w:val="Table: Indent: Hanging 7"/>
    <w:basedOn w:val="TablePlainParagraph"/>
    <w:semiHidden/>
    <w:pPr>
      <w:numPr>
        <w:ilvl w:val="7"/>
        <w:numId w:val="9"/>
      </w:numPr>
      <w:tabs>
        <w:tab w:val="left" w:pos="1984"/>
      </w:tabs>
      <w:spacing w:before="0"/>
    </w:pPr>
  </w:style>
  <w:style w:type="paragraph" w:customStyle="1" w:styleId="TableIndentHanging8">
    <w:name w:val="Table: Indent: Hanging 8"/>
    <w:basedOn w:val="TablePlainParagraph"/>
    <w:semiHidden/>
    <w:pPr>
      <w:numPr>
        <w:ilvl w:val="8"/>
        <w:numId w:val="9"/>
      </w:numPr>
      <w:tabs>
        <w:tab w:val="left" w:pos="2268"/>
      </w:tabs>
      <w:spacing w:before="0"/>
    </w:pPr>
  </w:style>
  <w:style w:type="paragraph" w:customStyle="1" w:styleId="TableIndentFull">
    <w:name w:val="Table: Indent: Full"/>
    <w:basedOn w:val="TablePlainParagraph"/>
    <w:semiHidden/>
    <w:pPr>
      <w:numPr>
        <w:numId w:val="10"/>
      </w:numPr>
      <w:spacing w:before="0"/>
    </w:pPr>
  </w:style>
  <w:style w:type="paragraph" w:customStyle="1" w:styleId="TableIndentFull1">
    <w:name w:val="Table: Indent: Full 1"/>
    <w:basedOn w:val="TablePlainParagraph"/>
    <w:pPr>
      <w:numPr>
        <w:ilvl w:val="1"/>
        <w:numId w:val="10"/>
      </w:numPr>
      <w:spacing w:before="0"/>
    </w:pPr>
  </w:style>
  <w:style w:type="paragraph" w:customStyle="1" w:styleId="TableIndentFull2">
    <w:name w:val="Table: Indent: Full 2"/>
    <w:basedOn w:val="TablePlainParagraph"/>
    <w:semiHidden/>
    <w:pPr>
      <w:numPr>
        <w:ilvl w:val="2"/>
        <w:numId w:val="10"/>
      </w:numPr>
      <w:spacing w:before="0"/>
    </w:pPr>
  </w:style>
  <w:style w:type="paragraph" w:customStyle="1" w:styleId="TableIndentFull3">
    <w:name w:val="Table: Indent: Full 3"/>
    <w:basedOn w:val="TablePlainParagraph"/>
    <w:semiHidden/>
    <w:pPr>
      <w:numPr>
        <w:ilvl w:val="3"/>
        <w:numId w:val="10"/>
      </w:numPr>
      <w:spacing w:before="0"/>
    </w:pPr>
  </w:style>
  <w:style w:type="paragraph" w:customStyle="1" w:styleId="TableIndentFull4">
    <w:name w:val="Table: Indent: Full 4"/>
    <w:basedOn w:val="TablePlainParagraph"/>
    <w:semiHidden/>
    <w:pPr>
      <w:numPr>
        <w:ilvl w:val="4"/>
        <w:numId w:val="10"/>
      </w:numPr>
      <w:spacing w:before="0"/>
    </w:pPr>
  </w:style>
  <w:style w:type="paragraph" w:customStyle="1" w:styleId="TableIndentFull5">
    <w:name w:val="Table: Indent: Full 5"/>
    <w:basedOn w:val="TablePlainParagraph"/>
    <w:semiHidden/>
    <w:pPr>
      <w:numPr>
        <w:ilvl w:val="5"/>
        <w:numId w:val="10"/>
      </w:numPr>
      <w:spacing w:before="0"/>
    </w:pPr>
  </w:style>
  <w:style w:type="paragraph" w:customStyle="1" w:styleId="TableIndentFull6">
    <w:name w:val="Table: Indent: Full 6"/>
    <w:basedOn w:val="TablePlainParagraph"/>
    <w:semiHidden/>
    <w:pPr>
      <w:numPr>
        <w:ilvl w:val="6"/>
        <w:numId w:val="10"/>
      </w:numPr>
      <w:spacing w:before="0"/>
    </w:pPr>
  </w:style>
  <w:style w:type="paragraph" w:customStyle="1" w:styleId="TableIndentFull7">
    <w:name w:val="Table: Indent: Full 7"/>
    <w:basedOn w:val="TablePlainParagraph"/>
    <w:semiHidden/>
    <w:pPr>
      <w:numPr>
        <w:ilvl w:val="7"/>
        <w:numId w:val="10"/>
      </w:numPr>
      <w:spacing w:before="0"/>
    </w:pPr>
  </w:style>
  <w:style w:type="paragraph" w:customStyle="1" w:styleId="TableIndentFull8">
    <w:name w:val="Table: Indent: Full 8"/>
    <w:basedOn w:val="TablePlainParagraph"/>
    <w:semiHidden/>
    <w:pPr>
      <w:numPr>
        <w:ilvl w:val="8"/>
        <w:numId w:val="10"/>
      </w:numPr>
      <w:spacing w:before="0"/>
    </w:pPr>
  </w:style>
  <w:style w:type="paragraph" w:customStyle="1" w:styleId="TableNumberedList1">
    <w:name w:val="Table: Numbered List: 1)"/>
    <w:basedOn w:val="TablePlainParagraph"/>
    <w:semiHidden/>
    <w:pPr>
      <w:numPr>
        <w:numId w:val="11"/>
      </w:numPr>
      <w:spacing w:before="0"/>
    </w:pPr>
  </w:style>
  <w:style w:type="paragraph" w:customStyle="1" w:styleId="TableNumberedList11">
    <w:name w:val="Table: Numbered List: 1) 1"/>
    <w:basedOn w:val="TablePlainParagraph"/>
    <w:pPr>
      <w:numPr>
        <w:ilvl w:val="1"/>
        <w:numId w:val="11"/>
      </w:numPr>
      <w:spacing w:before="0"/>
    </w:pPr>
  </w:style>
  <w:style w:type="paragraph" w:customStyle="1" w:styleId="TableNumberedList12">
    <w:name w:val="Table: Numbered List: 1) 2"/>
    <w:basedOn w:val="TablePlainParagraph"/>
    <w:semiHidden/>
    <w:pPr>
      <w:numPr>
        <w:ilvl w:val="2"/>
        <w:numId w:val="11"/>
      </w:numPr>
      <w:spacing w:before="0"/>
    </w:pPr>
  </w:style>
  <w:style w:type="paragraph" w:customStyle="1" w:styleId="TableNumberedList13">
    <w:name w:val="Table: Numbered List: 1) 3"/>
    <w:basedOn w:val="TablePlainParagraph"/>
    <w:semiHidden/>
    <w:pPr>
      <w:numPr>
        <w:ilvl w:val="3"/>
        <w:numId w:val="11"/>
      </w:numPr>
      <w:spacing w:before="0"/>
    </w:pPr>
  </w:style>
  <w:style w:type="paragraph" w:customStyle="1" w:styleId="TableNumberedList14">
    <w:name w:val="Table: Numbered List: 1) 4"/>
    <w:basedOn w:val="TablePlainParagraph"/>
    <w:semiHidden/>
    <w:pPr>
      <w:numPr>
        <w:ilvl w:val="4"/>
        <w:numId w:val="11"/>
      </w:numPr>
      <w:spacing w:before="0"/>
    </w:pPr>
  </w:style>
  <w:style w:type="paragraph" w:customStyle="1" w:styleId="TableNumberedList15">
    <w:name w:val="Table: Numbered List: 1) 5"/>
    <w:basedOn w:val="TablePlainParagraph"/>
    <w:semiHidden/>
    <w:pPr>
      <w:numPr>
        <w:ilvl w:val="5"/>
        <w:numId w:val="11"/>
      </w:numPr>
      <w:spacing w:before="0"/>
    </w:pPr>
  </w:style>
  <w:style w:type="paragraph" w:customStyle="1" w:styleId="TableNumberedList16">
    <w:name w:val="Table: Numbered List: 1) 6"/>
    <w:basedOn w:val="TablePlainParagraph"/>
    <w:semiHidden/>
    <w:pPr>
      <w:numPr>
        <w:ilvl w:val="6"/>
        <w:numId w:val="11"/>
      </w:numPr>
      <w:spacing w:before="0"/>
    </w:pPr>
  </w:style>
  <w:style w:type="paragraph" w:customStyle="1" w:styleId="TableNumberedList17">
    <w:name w:val="Table: Numbered List: 1) 7"/>
    <w:basedOn w:val="TablePlainParagraph"/>
    <w:semiHidden/>
    <w:pPr>
      <w:numPr>
        <w:ilvl w:val="7"/>
        <w:numId w:val="11"/>
      </w:numPr>
      <w:spacing w:before="0"/>
    </w:pPr>
  </w:style>
  <w:style w:type="paragraph" w:customStyle="1" w:styleId="TableNumberedList18">
    <w:name w:val="Table: Numbered List: 1) 8"/>
    <w:basedOn w:val="TablePlainParagraph"/>
    <w:semiHidden/>
    <w:pPr>
      <w:numPr>
        <w:ilvl w:val="8"/>
        <w:numId w:val="11"/>
      </w:numPr>
      <w:spacing w:before="0"/>
    </w:pPr>
  </w:style>
  <w:style w:type="paragraph" w:customStyle="1" w:styleId="TableNumberedLista">
    <w:name w:val="Table: Numbered List: a)"/>
    <w:basedOn w:val="TablePlainParagraph"/>
    <w:semiHidden/>
    <w:pPr>
      <w:numPr>
        <w:numId w:val="12"/>
      </w:numPr>
      <w:spacing w:before="0"/>
    </w:pPr>
  </w:style>
  <w:style w:type="paragraph" w:customStyle="1" w:styleId="TableNumberedLista1">
    <w:name w:val="Table: Numbered List: a) 1"/>
    <w:basedOn w:val="TablePlainParagraph"/>
    <w:pPr>
      <w:numPr>
        <w:ilvl w:val="1"/>
        <w:numId w:val="12"/>
      </w:numPr>
      <w:spacing w:before="0"/>
    </w:pPr>
  </w:style>
  <w:style w:type="paragraph" w:customStyle="1" w:styleId="TableNumberedLista2">
    <w:name w:val="Table: Numbered List: a) 2"/>
    <w:basedOn w:val="TablePlainParagraph"/>
    <w:semiHidden/>
    <w:pPr>
      <w:numPr>
        <w:ilvl w:val="2"/>
        <w:numId w:val="12"/>
      </w:numPr>
      <w:spacing w:before="0"/>
    </w:pPr>
  </w:style>
  <w:style w:type="paragraph" w:customStyle="1" w:styleId="TableNumberedLista3">
    <w:name w:val="Table: Numbered List: a) 3"/>
    <w:basedOn w:val="TablePlainParagraph"/>
    <w:semiHidden/>
    <w:pPr>
      <w:numPr>
        <w:ilvl w:val="3"/>
        <w:numId w:val="12"/>
      </w:numPr>
      <w:spacing w:before="0"/>
    </w:pPr>
  </w:style>
  <w:style w:type="paragraph" w:customStyle="1" w:styleId="TableNumberedLista4">
    <w:name w:val="Table: Numbered List: a) 4"/>
    <w:basedOn w:val="TablePlainParagraph"/>
    <w:semiHidden/>
    <w:pPr>
      <w:numPr>
        <w:ilvl w:val="4"/>
        <w:numId w:val="12"/>
      </w:numPr>
      <w:spacing w:before="0"/>
    </w:pPr>
  </w:style>
  <w:style w:type="paragraph" w:customStyle="1" w:styleId="TableNumberedLista5">
    <w:name w:val="Table: Numbered List: a) 5"/>
    <w:basedOn w:val="TablePlainParagraph"/>
    <w:semiHidden/>
    <w:pPr>
      <w:numPr>
        <w:ilvl w:val="5"/>
        <w:numId w:val="12"/>
      </w:numPr>
      <w:spacing w:before="0"/>
    </w:pPr>
  </w:style>
  <w:style w:type="paragraph" w:customStyle="1" w:styleId="TableNumberedLista6">
    <w:name w:val="Table: Numbered List: a) 6"/>
    <w:basedOn w:val="TablePlainParagraph"/>
    <w:semiHidden/>
    <w:pPr>
      <w:numPr>
        <w:ilvl w:val="6"/>
        <w:numId w:val="12"/>
      </w:numPr>
      <w:spacing w:before="0"/>
    </w:pPr>
  </w:style>
  <w:style w:type="paragraph" w:customStyle="1" w:styleId="TableNumberedLista7">
    <w:name w:val="Table: Numbered List: a) 7"/>
    <w:basedOn w:val="TablePlainParagraph"/>
    <w:semiHidden/>
    <w:pPr>
      <w:numPr>
        <w:ilvl w:val="7"/>
        <w:numId w:val="12"/>
      </w:numPr>
      <w:spacing w:before="0"/>
    </w:pPr>
  </w:style>
  <w:style w:type="paragraph" w:customStyle="1" w:styleId="TableNumberedLista8">
    <w:name w:val="Table: Numbered List: a) 8"/>
    <w:basedOn w:val="TablePlainParagraph"/>
    <w:semiHidden/>
    <w:pPr>
      <w:numPr>
        <w:ilvl w:val="8"/>
        <w:numId w:val="12"/>
      </w:numPr>
      <w:spacing w:before="0"/>
    </w:pPr>
  </w:style>
  <w:style w:type="paragraph" w:customStyle="1" w:styleId="Subrand">
    <w:name w:val="Subrand"/>
    <w:semiHidden/>
    <w:pPr>
      <w:spacing w:line="200" w:lineRule="atLeast"/>
      <w:jc w:val="right"/>
    </w:pPr>
    <w:rPr>
      <w:rFonts w:ascii="Arial" w:hAnsi="Arial" w:cs="Arial"/>
      <w:b/>
      <w:i/>
      <w:szCs w:val="22"/>
      <w:lang w:val="en-AU" w:eastAsia="en-AU"/>
    </w:rPr>
  </w:style>
  <w:style w:type="table" w:styleId="TableGrid">
    <w:name w:val="Table Grid"/>
    <w:basedOn w:val="TableNormal"/>
    <w:uiPriority w:val="39"/>
    <w:tblPr/>
  </w:style>
  <w:style w:type="paragraph" w:styleId="BodyTextIndent">
    <w:name w:val="Body Text Indent"/>
    <w:basedOn w:val="Normal"/>
    <w:pPr>
      <w:ind w:left="2160"/>
      <w:jc w:val="both"/>
    </w:pPr>
    <w:rPr>
      <w:i/>
      <w:szCs w:val="22"/>
    </w:rPr>
  </w:style>
  <w:style w:type="paragraph" w:styleId="TOC4">
    <w:name w:val="toc 4"/>
    <w:basedOn w:val="Normal"/>
    <w:next w:val="Normal"/>
    <w:pPr>
      <w:ind w:left="440"/>
    </w:pPr>
    <w:rPr>
      <w:rFonts w:ascii="Times New Roman" w:hAnsi="Times New Roman" w:cs="Times New Roman"/>
      <w:sz w:val="20"/>
      <w:szCs w:val="20"/>
    </w:rPr>
  </w:style>
  <w:style w:type="paragraph" w:styleId="TOC5">
    <w:name w:val="toc 5"/>
    <w:basedOn w:val="Normal"/>
    <w:next w:val="Normal"/>
    <w:pPr>
      <w:ind w:left="660"/>
    </w:pPr>
    <w:rPr>
      <w:rFonts w:ascii="Times New Roman" w:hAnsi="Times New Roman" w:cs="Times New Roman"/>
      <w:sz w:val="20"/>
      <w:szCs w:val="20"/>
    </w:rPr>
  </w:style>
  <w:style w:type="paragraph" w:customStyle="1" w:styleId="Number1">
    <w:name w:val="Number 1"/>
    <w:basedOn w:val="Normal"/>
    <w:pPr>
      <w:tabs>
        <w:tab w:val="num" w:pos="360"/>
      </w:tabs>
      <w:spacing w:before="120" w:after="120" w:line="300" w:lineRule="atLeast"/>
      <w:ind w:left="360" w:hanging="360"/>
      <w:jc w:val="both"/>
    </w:pPr>
    <w:rPr>
      <w:color w:val="000000"/>
      <w:szCs w:val="22"/>
    </w:rPr>
  </w:style>
  <w:style w:type="paragraph" w:customStyle="1" w:styleId="Numbera">
    <w:name w:val="Number(a)"/>
    <w:basedOn w:val="Normal"/>
    <w:pPr>
      <w:spacing w:before="80" w:after="80" w:line="280" w:lineRule="atLeast"/>
      <w:jc w:val="both"/>
    </w:pPr>
    <w:rPr>
      <w:color w:val="000000"/>
      <w:szCs w:val="22"/>
    </w:rPr>
  </w:style>
  <w:style w:type="paragraph" w:customStyle="1" w:styleId="Numberi">
    <w:name w:val="Number(i)"/>
    <w:basedOn w:val="Normal"/>
    <w:pPr>
      <w:spacing w:before="80" w:after="80" w:line="280" w:lineRule="atLeast"/>
      <w:jc w:val="both"/>
    </w:pPr>
    <w:rPr>
      <w:color w:val="000000"/>
      <w:szCs w:val="22"/>
    </w:rPr>
  </w:style>
  <w:style w:type="paragraph" w:styleId="BodyText">
    <w:name w:val="Body Text"/>
    <w:basedOn w:val="Normal"/>
    <w:pPr>
      <w:widowControl w:val="0"/>
      <w:jc w:val="center"/>
    </w:pPr>
    <w:rPr>
      <w:szCs w:val="22"/>
    </w:rPr>
  </w:style>
  <w:style w:type="paragraph" w:customStyle="1" w:styleId="p2">
    <w:name w:val="p2"/>
    <w:basedOn w:val="Normal"/>
    <w:pPr>
      <w:tabs>
        <w:tab w:val="left" w:pos="720"/>
      </w:tabs>
      <w:spacing w:line="320" w:lineRule="atLeast"/>
    </w:pPr>
    <w:rPr>
      <w:szCs w:val="22"/>
    </w:rPr>
  </w:style>
  <w:style w:type="paragraph" w:customStyle="1" w:styleId="p6">
    <w:name w:val="p6"/>
    <w:basedOn w:val="Normal"/>
    <w:pPr>
      <w:spacing w:line="320" w:lineRule="atLeast"/>
    </w:pPr>
    <w:rPr>
      <w:szCs w:val="22"/>
    </w:rPr>
  </w:style>
  <w:style w:type="paragraph" w:customStyle="1" w:styleId="p4">
    <w:name w:val="p4"/>
    <w:basedOn w:val="Normal"/>
    <w:pPr>
      <w:tabs>
        <w:tab w:val="left" w:pos="720"/>
      </w:tabs>
      <w:spacing w:line="320" w:lineRule="atLeast"/>
    </w:pPr>
    <w:rPr>
      <w:szCs w:val="22"/>
    </w:rPr>
  </w:style>
  <w:style w:type="paragraph" w:styleId="BlockText">
    <w:name w:val="Block Text"/>
    <w:basedOn w:val="Normal"/>
    <w:pPr>
      <w:ind w:left="3119" w:right="3119"/>
      <w:jc w:val="center"/>
    </w:pPr>
    <w:rPr>
      <w:szCs w:val="22"/>
    </w:rPr>
  </w:style>
  <w:style w:type="paragraph" w:styleId="BodyText2">
    <w:name w:val="Body Text 2"/>
    <w:basedOn w:val="Normal"/>
    <w:pPr>
      <w:jc w:val="both"/>
    </w:pPr>
    <w:rPr>
      <w:szCs w:val="22"/>
    </w:rPr>
  </w:style>
  <w:style w:type="paragraph" w:styleId="Title">
    <w:name w:val="Title"/>
    <w:basedOn w:val="Normal"/>
    <w:qFormat/>
    <w:pPr>
      <w:tabs>
        <w:tab w:val="left" w:pos="1170"/>
      </w:tabs>
      <w:jc w:val="center"/>
    </w:pPr>
    <w:rPr>
      <w:b/>
      <w:szCs w:val="22"/>
    </w:rPr>
  </w:style>
  <w:style w:type="paragraph" w:styleId="BodyText3">
    <w:name w:val="Body Text 3"/>
    <w:basedOn w:val="Normal"/>
    <w:pPr>
      <w:jc w:val="both"/>
    </w:pPr>
    <w:rPr>
      <w:color w:val="0000FF"/>
      <w:szCs w:val="22"/>
    </w:rPr>
  </w:style>
  <w:style w:type="paragraph" w:customStyle="1" w:styleId="TxtParagraph">
    <w:name w:val="Txt  Paragraph"/>
    <w:basedOn w:val="Normal"/>
    <w:pPr>
      <w:tabs>
        <w:tab w:val="left" w:pos="567"/>
      </w:tabs>
      <w:spacing w:before="120" w:after="120" w:line="300" w:lineRule="atLeast"/>
      <w:jc w:val="both"/>
    </w:pPr>
    <w:rPr>
      <w:color w:val="000000"/>
      <w:szCs w:val="22"/>
    </w:rPr>
  </w:style>
  <w:style w:type="paragraph" w:styleId="BodyTextIndent2">
    <w:name w:val="Body Text Indent 2"/>
    <w:basedOn w:val="Normal"/>
    <w:pPr>
      <w:ind w:left="720"/>
    </w:pPr>
    <w:rPr>
      <w:szCs w:val="22"/>
    </w:rPr>
  </w:style>
  <w:style w:type="paragraph" w:styleId="BodyTextIndent3">
    <w:name w:val="Body Text Indent 3"/>
    <w:basedOn w:val="Normal"/>
    <w:pPr>
      <w:spacing w:before="120" w:after="120" w:line="300" w:lineRule="atLeast"/>
      <w:ind w:left="720"/>
      <w:jc w:val="both"/>
    </w:pPr>
    <w:rPr>
      <w:szCs w:val="22"/>
    </w:rPr>
  </w:style>
  <w:style w:type="paragraph" w:customStyle="1" w:styleId="Quotation1Char">
    <w:name w:val="Quotation 1 Char"/>
    <w:basedOn w:val="PlainParagraph"/>
    <w:link w:val="Quotation1CharChar"/>
    <w:pPr>
      <w:spacing w:before="0" w:line="260" w:lineRule="atLeast"/>
    </w:pPr>
  </w:style>
  <w:style w:type="paragraph" w:customStyle="1" w:styleId="TxtIndent1">
    <w:name w:val="Txt Indent 1"/>
    <w:basedOn w:val="TxtParagraph"/>
    <w:pPr>
      <w:tabs>
        <w:tab w:val="clear" w:pos="567"/>
      </w:tabs>
      <w:spacing w:before="80" w:after="80" w:line="280" w:lineRule="atLeast"/>
      <w:ind w:left="567" w:hanging="567"/>
    </w:pPr>
  </w:style>
  <w:style w:type="paragraph" w:customStyle="1" w:styleId="Subbrand">
    <w:name w:val="Subbrand"/>
    <w:pPr>
      <w:spacing w:line="200" w:lineRule="atLeast"/>
      <w:jc w:val="right"/>
    </w:pPr>
    <w:rPr>
      <w:rFonts w:ascii="Arial" w:hAnsi="Arial" w:cs="Arial"/>
      <w:b/>
      <w:i/>
      <w:sz w:val="22"/>
      <w:szCs w:val="24"/>
      <w:lang w:val="en-AU" w:eastAsia="en-AU"/>
    </w:rPr>
  </w:style>
  <w:style w:type="paragraph" w:customStyle="1" w:styleId="ActHead5">
    <w:name w:val="ActHead 5"/>
    <w:aliases w:val="s"/>
    <w:basedOn w:val="Normal"/>
    <w:next w:val="Normal"/>
    <w:pPr>
      <w:keepNext/>
      <w:keepLines/>
      <w:spacing w:before="280"/>
      <w:ind w:left="1134" w:hanging="1134"/>
      <w:outlineLvl w:val="4"/>
    </w:pPr>
    <w:rPr>
      <w:b/>
      <w:bCs/>
      <w:kern w:val="28"/>
      <w:szCs w:val="32"/>
    </w:rPr>
  </w:style>
  <w:style w:type="character" w:customStyle="1" w:styleId="NormalBaseChar">
    <w:name w:val="Normal Base Char"/>
    <w:rPr>
      <w:rFonts w:ascii="Arial" w:hAnsi="Arial" w:cs="Arial"/>
      <w:sz w:val="22"/>
      <w:szCs w:val="22"/>
      <w:lang w:val="en-AU" w:eastAsia="en-AU" w:bidi="ar-SA"/>
    </w:rPr>
  </w:style>
  <w:style w:type="character" w:customStyle="1" w:styleId="PlainParagraphChar">
    <w:name w:val="Plain Paragraph Char"/>
    <w:basedOn w:val="NormalBaseChar"/>
    <w:rPr>
      <w:rFonts w:ascii="Arial" w:hAnsi="Arial" w:cs="Arial"/>
      <w:sz w:val="22"/>
      <w:szCs w:val="22"/>
      <w:lang w:val="en-AU" w:eastAsia="en-AU" w:bidi="ar-SA"/>
    </w:rPr>
  </w:style>
  <w:style w:type="character" w:customStyle="1" w:styleId="DashEmChar">
    <w:name w:val="Dash: Em Char"/>
    <w:basedOn w:val="PlainParagraphChar"/>
    <w:rPr>
      <w:rFonts w:ascii="Arial" w:hAnsi="Arial" w:cs="Arial"/>
      <w:sz w:val="22"/>
      <w:szCs w:val="22"/>
      <w:lang w:val="en-AU" w:eastAsia="en-AU" w:bidi="ar-SA"/>
    </w:rPr>
  </w:style>
  <w:style w:type="character" w:customStyle="1" w:styleId="DashEn1Char">
    <w:name w:val="Dash: En 1 Char"/>
    <w:basedOn w:val="DashEmChar"/>
    <w:rPr>
      <w:rFonts w:ascii="Arial" w:hAnsi="Arial" w:cs="Arial"/>
      <w:sz w:val="22"/>
      <w:szCs w:val="22"/>
      <w:lang w:val="en-AU" w:eastAsia="en-AU" w:bidi="ar-SA"/>
    </w:rPr>
  </w:style>
  <w:style w:type="character" w:customStyle="1" w:styleId="NormalBaseChar1">
    <w:name w:val="Normal Base Char1"/>
    <w:rPr>
      <w:rFonts w:ascii="Arial" w:hAnsi="Arial" w:cs="Arial"/>
      <w:sz w:val="22"/>
      <w:szCs w:val="22"/>
      <w:lang w:val="en-AU" w:eastAsia="en-AU" w:bidi="ar-SA"/>
    </w:rPr>
  </w:style>
  <w:style w:type="character" w:customStyle="1" w:styleId="PlainParagraphChar1">
    <w:name w:val="Plain Paragraph Char1"/>
    <w:basedOn w:val="NormalBaseChar1"/>
    <w:rPr>
      <w:rFonts w:ascii="Arial" w:hAnsi="Arial" w:cs="Arial"/>
      <w:sz w:val="22"/>
      <w:szCs w:val="22"/>
      <w:lang w:val="en-AU" w:eastAsia="en-AU" w:bidi="ar-SA"/>
    </w:rPr>
  </w:style>
  <w:style w:type="character" w:customStyle="1" w:styleId="NumberLevel1Char">
    <w:name w:val="Number Level 1 Char"/>
    <w:basedOn w:val="PlainParagraphChar1"/>
    <w:rPr>
      <w:rFonts w:ascii="Arial" w:hAnsi="Arial" w:cs="Arial"/>
      <w:sz w:val="22"/>
      <w:szCs w:val="22"/>
      <w:lang w:val="en-AU" w:eastAsia="en-AU" w:bidi="ar-SA"/>
    </w:rPr>
  </w:style>
  <w:style w:type="character" w:customStyle="1" w:styleId="CharAmSchNo">
    <w:name w:val="CharAmSchNo"/>
    <w:rPr>
      <w:rFonts w:ascii="Arial" w:hAnsi="Arial" w:cs="Arial"/>
      <w:sz w:val="22"/>
    </w:rPr>
  </w:style>
  <w:style w:type="character" w:customStyle="1" w:styleId="CharSectno">
    <w:name w:val="CharSectno"/>
    <w:rPr>
      <w:rFonts w:ascii="Arial" w:hAnsi="Arial" w:cs="Arial"/>
      <w:sz w:val="22"/>
    </w:rPr>
  </w:style>
  <w:style w:type="paragraph" w:customStyle="1" w:styleId="notetext">
    <w:name w:val="note(text)"/>
    <w:aliases w:val="n"/>
    <w:pPr>
      <w:spacing w:before="122" w:line="198" w:lineRule="exact"/>
      <w:ind w:left="1985" w:hanging="851"/>
    </w:pPr>
    <w:rPr>
      <w:rFonts w:ascii="Arial" w:hAnsi="Arial" w:cs="Arial"/>
      <w:sz w:val="22"/>
      <w:szCs w:val="24"/>
      <w:lang w:val="en-AU" w:eastAsia="en-AU"/>
    </w:rPr>
  </w:style>
  <w:style w:type="paragraph" w:customStyle="1" w:styleId="subsection">
    <w:name w:val="subsection"/>
    <w:aliases w:val="ss"/>
    <w:pPr>
      <w:tabs>
        <w:tab w:val="right" w:pos="1021"/>
      </w:tabs>
      <w:spacing w:before="180"/>
      <w:ind w:left="1134" w:hanging="1134"/>
    </w:pPr>
    <w:rPr>
      <w:rFonts w:ascii="Arial" w:hAnsi="Arial" w:cs="Arial"/>
      <w:sz w:val="22"/>
      <w:szCs w:val="24"/>
      <w:lang w:val="en-AU" w:eastAsia="en-AU"/>
    </w:rPr>
  </w:style>
  <w:style w:type="paragraph" w:customStyle="1" w:styleId="paragraph">
    <w:name w:val="paragraph"/>
    <w:aliases w:val="a"/>
    <w:pPr>
      <w:tabs>
        <w:tab w:val="right" w:pos="1531"/>
      </w:tabs>
      <w:spacing w:before="40"/>
      <w:ind w:left="1644" w:hanging="1644"/>
    </w:pPr>
    <w:rPr>
      <w:rFonts w:ascii="Arial" w:hAnsi="Arial" w:cs="Arial"/>
      <w:sz w:val="22"/>
      <w:szCs w:val="24"/>
      <w:lang w:val="en-AU" w:eastAsia="en-AU"/>
    </w:rPr>
  </w:style>
  <w:style w:type="paragraph" w:customStyle="1" w:styleId="subsection2">
    <w:name w:val="subsection2"/>
    <w:aliases w:val="ss2"/>
    <w:basedOn w:val="subsection"/>
    <w:next w:val="subsection"/>
    <w:pPr>
      <w:tabs>
        <w:tab w:val="clear" w:pos="1021"/>
      </w:tabs>
      <w:spacing w:before="40"/>
      <w:ind w:firstLine="0"/>
    </w:pPr>
  </w:style>
  <w:style w:type="paragraph" w:customStyle="1" w:styleId="SubsectionHead">
    <w:name w:val="SubsectionHead"/>
    <w:aliases w:val="ssh"/>
    <w:basedOn w:val="subsection"/>
    <w:next w:val="subsection"/>
    <w:pPr>
      <w:keepNext/>
      <w:keepLines/>
      <w:tabs>
        <w:tab w:val="clear" w:pos="1021"/>
      </w:tabs>
      <w:spacing w:before="240"/>
      <w:ind w:firstLine="0"/>
    </w:pPr>
    <w:rPr>
      <w:i/>
    </w:rPr>
  </w:style>
  <w:style w:type="paragraph" w:styleId="CommentText">
    <w:name w:val="annotation text"/>
    <w:basedOn w:val="Normal"/>
    <w:link w:val="CommentTextChar"/>
    <w:semiHidden/>
    <w:rPr>
      <w:szCs w:val="22"/>
    </w:rPr>
  </w:style>
  <w:style w:type="character" w:styleId="Strong">
    <w:name w:val="Strong"/>
    <w:qFormat/>
    <w:rPr>
      <w:rFonts w:ascii="Arial" w:hAnsi="Arial" w:cs="Arial"/>
      <w:b/>
      <w:bCs/>
      <w:sz w:val="22"/>
    </w:rPr>
  </w:style>
  <w:style w:type="character" w:styleId="FollowedHyperlink">
    <w:name w:val="FollowedHyperlink"/>
    <w:uiPriority w:val="99"/>
    <w:rPr>
      <w:rFonts w:ascii="Arial" w:hAnsi="Arial" w:cs="Arial"/>
      <w:color w:val="800080"/>
      <w:sz w:val="22"/>
      <w:u w:val="single"/>
    </w:rPr>
  </w:style>
  <w:style w:type="paragraph" w:styleId="BalloonText">
    <w:name w:val="Balloon Text"/>
    <w:basedOn w:val="Normal"/>
    <w:semiHidden/>
    <w:rPr>
      <w:szCs w:val="16"/>
    </w:rPr>
  </w:style>
  <w:style w:type="character" w:styleId="CommentReference">
    <w:name w:val="annotation reference"/>
    <w:semiHidden/>
    <w:rPr>
      <w:rFonts w:ascii="Arial" w:hAnsi="Arial" w:cs="Arial"/>
      <w:sz w:val="22"/>
      <w:szCs w:val="16"/>
    </w:rPr>
  </w:style>
  <w:style w:type="character" w:customStyle="1" w:styleId="Quotation1CharChar">
    <w:name w:val="Quotation 1 Char Char"/>
    <w:basedOn w:val="PlainParagraphChar"/>
    <w:link w:val="Quotation1Char"/>
    <w:rPr>
      <w:rFonts w:ascii="Arial" w:hAnsi="Arial" w:cs="Arial"/>
      <w:sz w:val="22"/>
      <w:szCs w:val="22"/>
      <w:lang w:val="en-AU" w:eastAsia="en-AU" w:bidi="ar-SA"/>
    </w:rPr>
  </w:style>
  <w:style w:type="paragraph" w:styleId="CommentSubject">
    <w:name w:val="annotation subject"/>
    <w:basedOn w:val="CommentText"/>
    <w:next w:val="CommentText"/>
    <w:semiHidden/>
    <w:rPr>
      <w:b/>
      <w:bCs/>
      <w:szCs w:val="20"/>
    </w:rPr>
  </w:style>
  <w:style w:type="character" w:customStyle="1" w:styleId="FooterChar1">
    <w:name w:val="Footer Char1"/>
    <w:link w:val="Footer"/>
    <w:rPr>
      <w:rFonts w:ascii="Arial" w:hAnsi="Arial" w:cs="Arial"/>
      <w:sz w:val="16"/>
      <w:szCs w:val="22"/>
      <w:lang w:val="en-AU" w:eastAsia="en-AU" w:bidi="ar-SA"/>
    </w:rPr>
  </w:style>
  <w:style w:type="paragraph" w:styleId="NormalWeb">
    <w:name w:val="Normal (Web)"/>
    <w:basedOn w:val="Normal"/>
    <w:pPr>
      <w:spacing w:after="240" w:line="312" w:lineRule="atLeast"/>
    </w:pPr>
    <w:rPr>
      <w:color w:val="3B3B3B"/>
      <w:szCs w:val="22"/>
    </w:rPr>
  </w:style>
  <w:style w:type="numbering" w:styleId="111111">
    <w:name w:val="Outline List 2"/>
    <w:basedOn w:val="NoList"/>
    <w:pPr>
      <w:numPr>
        <w:numId w:val="13"/>
      </w:numPr>
    </w:pPr>
  </w:style>
  <w:style w:type="numbering" w:styleId="1ai">
    <w:name w:val="Outline List 1"/>
    <w:basedOn w:val="NoList"/>
    <w:pPr>
      <w:numPr>
        <w:numId w:val="14"/>
      </w:numPr>
    </w:pPr>
  </w:style>
  <w:style w:type="numbering" w:styleId="ArticleSection">
    <w:name w:val="Outline List 3"/>
    <w:basedOn w:val="NoList"/>
    <w:pPr>
      <w:numPr>
        <w:numId w:val="15"/>
      </w:numPr>
    </w:pPr>
  </w:style>
  <w:style w:type="paragraph" w:styleId="BodyTextFirstIndent">
    <w:name w:val="Body Text First Indent"/>
    <w:basedOn w:val="BodyText"/>
    <w:pPr>
      <w:widowControl/>
      <w:spacing w:after="120"/>
      <w:ind w:firstLine="210"/>
      <w:jc w:val="left"/>
    </w:pPr>
    <w:rPr>
      <w:szCs w:val="24"/>
    </w:rPr>
  </w:style>
  <w:style w:type="paragraph" w:styleId="BodyTextFirstIndent2">
    <w:name w:val="Body Text First Indent 2"/>
    <w:basedOn w:val="BodyTextIndent"/>
    <w:pPr>
      <w:spacing w:after="120"/>
      <w:ind w:left="283" w:firstLine="210"/>
      <w:jc w:val="left"/>
    </w:pPr>
    <w:rPr>
      <w:i w:val="0"/>
      <w:szCs w:val="24"/>
    </w:rPr>
  </w:style>
  <w:style w:type="paragraph" w:styleId="Caption">
    <w:name w:val="caption"/>
    <w:basedOn w:val="Normal"/>
    <w:next w:val="Normal"/>
    <w:qFormat/>
    <w:rPr>
      <w:b/>
      <w:bCs/>
      <w:szCs w:val="20"/>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semiHidden/>
    <w:pPr>
      <w:shd w:val="clear" w:color="auto" w:fill="000080"/>
    </w:pPr>
    <w:rPr>
      <w:szCs w:val="20"/>
    </w:rPr>
  </w:style>
  <w:style w:type="paragraph" w:styleId="E-mailSignature">
    <w:name w:val="E-mail Signature"/>
    <w:basedOn w:val="Normal"/>
  </w:style>
  <w:style w:type="character" w:styleId="Emphasis">
    <w:name w:val="Emphasis"/>
    <w:qFormat/>
    <w:rPr>
      <w:rFonts w:ascii="Arial" w:hAnsi="Arial" w:cs="Arial"/>
      <w:i/>
      <w:iCs/>
      <w:sz w:val="22"/>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Cs w:val="20"/>
    </w:rPr>
  </w:style>
  <w:style w:type="character" w:styleId="HTMLAcronym">
    <w:name w:val="HTML Acronym"/>
    <w:rPr>
      <w:rFonts w:ascii="Arial" w:hAnsi="Arial" w:cs="Arial"/>
      <w:sz w:val="22"/>
    </w:rPr>
  </w:style>
  <w:style w:type="paragraph" w:styleId="HTMLAddress">
    <w:name w:val="HTML Address"/>
    <w:basedOn w:val="Normal"/>
    <w:rPr>
      <w:i/>
      <w:iCs/>
    </w:rPr>
  </w:style>
  <w:style w:type="character" w:styleId="HTMLCite">
    <w:name w:val="HTML Cite"/>
    <w:rPr>
      <w:rFonts w:ascii="Arial" w:hAnsi="Arial" w:cs="Arial"/>
      <w:i/>
      <w:iCs/>
      <w:sz w:val="22"/>
    </w:rPr>
  </w:style>
  <w:style w:type="character" w:styleId="HTMLCode">
    <w:name w:val="HTML Code"/>
    <w:rPr>
      <w:rFonts w:ascii="Courier New" w:hAnsi="Courier New" w:cs="Courier New"/>
      <w:sz w:val="22"/>
      <w:szCs w:val="20"/>
    </w:rPr>
  </w:style>
  <w:style w:type="character" w:styleId="HTMLDefinition">
    <w:name w:val="HTML Definition"/>
    <w:rPr>
      <w:rFonts w:ascii="Arial" w:hAnsi="Arial" w:cs="Arial"/>
      <w:i/>
      <w:iCs/>
      <w:sz w:val="22"/>
    </w:rPr>
  </w:style>
  <w:style w:type="character" w:styleId="HTMLKeyboard">
    <w:name w:val="HTML Keyboard"/>
    <w:rPr>
      <w:rFonts w:ascii="Courier New" w:hAnsi="Courier New" w:cs="Courier New"/>
      <w:sz w:val="22"/>
      <w:szCs w:val="20"/>
    </w:rPr>
  </w:style>
  <w:style w:type="paragraph" w:styleId="HTMLPreformatted">
    <w:name w:val="HTML Preformatted"/>
    <w:basedOn w:val="Normal"/>
    <w:rPr>
      <w:szCs w:val="20"/>
    </w:rPr>
  </w:style>
  <w:style w:type="character" w:styleId="HTMLSample">
    <w:name w:val="HTML Sample"/>
    <w:rPr>
      <w:rFonts w:ascii="Courier New" w:hAnsi="Courier New" w:cs="Courier New"/>
      <w:sz w:val="22"/>
    </w:rPr>
  </w:style>
  <w:style w:type="character" w:styleId="HTMLTypewriter">
    <w:name w:val="HTML Typewriter"/>
    <w:rPr>
      <w:rFonts w:ascii="Courier New" w:hAnsi="Courier New" w:cs="Courier New"/>
      <w:sz w:val="22"/>
      <w:szCs w:val="20"/>
    </w:rPr>
  </w:style>
  <w:style w:type="character" w:styleId="HTMLVariable">
    <w:name w:val="HTML Variable"/>
    <w:rPr>
      <w:rFonts w:ascii="Arial" w:hAnsi="Arial" w:cs="Arial"/>
      <w:i/>
      <w:iCs/>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bCs/>
    </w:rPr>
  </w:style>
  <w:style w:type="character" w:styleId="LineNumber">
    <w:name w:val="line number"/>
    <w:rPr>
      <w:rFonts w:ascii="Arial" w:hAnsi="Arial" w:cs="Arial"/>
      <w:sz w:val="22"/>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2"/>
      <w:lang w:val="en-AU" w:eastAsia="en-AU"/>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425"/>
    </w:pPr>
  </w:style>
  <w:style w:type="paragraph" w:styleId="NoteHeading">
    <w:name w:val="Note Heading"/>
    <w:basedOn w:val="Normal"/>
    <w:next w:val="Normal"/>
  </w:style>
  <w:style w:type="paragraph" w:styleId="PlainText">
    <w:name w:val="Plain Text"/>
    <w:basedOn w:val="Normal"/>
    <w:rPr>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style>
  <w:style w:type="table" w:styleId="Table3Deffects1">
    <w:name w:val="Table 3D effects 1"/>
    <w:basedOn w:val="TableNormal"/>
    <w:rPr>
      <w:rFonts w:ascii="Arial" w:hAnsi="Arial" w:cs="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rFonts w:ascii="Arial" w:hAnsi="Arial" w:cs="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rFonts w:ascii="Arial" w:hAnsi="Arial" w:cs="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rFonts w:ascii="Arial" w:hAnsi="Arial" w:cs="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rFonts w:ascii="Arial" w:hAnsi="Arial" w:cs="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rFonts w:ascii="Arial" w:hAnsi="Arial" w:cs="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rFonts w:ascii="Arial" w:hAnsi="Arial" w:cs="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rFonts w:ascii="Arial" w:hAnsi="Arial" w:cs="Arial"/>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rFonts w:ascii="Arial" w:hAnsi="Arial" w:cs="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rFonts w:ascii="Arial" w:hAnsi="Arial" w:cs="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rFonts w:ascii="Arial" w:hAnsi="Arial" w:cs="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rFonts w:ascii="Arial" w:hAnsi="Arial" w:cs="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rFonts w:ascii="Arial" w:hAnsi="Arial" w:cs="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rFonts w:ascii="Arial" w:hAnsi="Arial" w:cs="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rFonts w:ascii="Arial" w:hAnsi="Arial" w:cs="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rFonts w:ascii="Arial" w:hAnsi="Arial" w:cs="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rFonts w:ascii="Arial" w:hAnsi="Arial" w:cs="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rFonts w:ascii="Arial" w:hAnsi="Arial" w:cs="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rFonts w:ascii="Arial" w:hAnsi="Arial" w:cs="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rFonts w:ascii="Arial" w:hAnsi="Arial" w:cs="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rFonts w:ascii="Arial" w:hAnsi="Arial" w:cs="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rFonts w:ascii="Arial" w:hAnsi="Arial" w:cs="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rFonts w:ascii="Arial" w:hAnsi="Arial" w:cs="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rFonts w:ascii="Arial" w:hAnsi="Arial" w:cs="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rFonts w:ascii="Arial" w:hAnsi="Arial" w:cs="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rFonts w:ascii="Arial" w:hAnsi="Arial" w:cs="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rFonts w:ascii="Arial" w:hAnsi="Arial" w:cs="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rFonts w:ascii="Arial" w:hAnsi="Arial" w:cs="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rFonts w:ascii="Arial" w:hAnsi="Arial" w:cs="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rFonts w:ascii="Arial" w:hAnsi="Arial" w:cs="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rFonts w:ascii="Arial"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Pr>
      <w:rFonts w:ascii="Arial" w:hAnsi="Arial" w:cs="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rFonts w:ascii="Arial" w:hAnsi="Arial" w:cs="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rFonts w:ascii="Arial" w:hAnsi="Arial" w:cs="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pPr>
      <w:spacing w:before="120"/>
    </w:pPr>
    <w:rPr>
      <w:b/>
      <w:bCs/>
    </w:rPr>
  </w:style>
  <w:style w:type="paragraph" w:styleId="TOC6">
    <w:name w:val="toc 6"/>
    <w:basedOn w:val="Normal"/>
    <w:next w:val="Normal"/>
    <w:autoRedefine/>
    <w:semiHidden/>
    <w:pPr>
      <w:ind w:left="880"/>
    </w:pPr>
    <w:rPr>
      <w:rFonts w:ascii="Times New Roman" w:hAnsi="Times New Roman" w:cs="Times New Roman"/>
      <w:sz w:val="20"/>
      <w:szCs w:val="20"/>
    </w:rPr>
  </w:style>
  <w:style w:type="paragraph" w:styleId="TOC7">
    <w:name w:val="toc 7"/>
    <w:basedOn w:val="Normal"/>
    <w:next w:val="Normal"/>
    <w:autoRedefine/>
    <w:semiHidden/>
    <w:pPr>
      <w:ind w:left="1100"/>
    </w:pPr>
    <w:rPr>
      <w:rFonts w:ascii="Times New Roman" w:hAnsi="Times New Roman" w:cs="Times New Roman"/>
      <w:sz w:val="20"/>
      <w:szCs w:val="20"/>
    </w:rPr>
  </w:style>
  <w:style w:type="paragraph" w:styleId="TOC8">
    <w:name w:val="toc 8"/>
    <w:basedOn w:val="Normal"/>
    <w:next w:val="Normal"/>
    <w:autoRedefine/>
    <w:semiHidden/>
    <w:pPr>
      <w:ind w:left="1320"/>
    </w:pPr>
    <w:rPr>
      <w:rFonts w:ascii="Times New Roman" w:hAnsi="Times New Roman" w:cs="Times New Roman"/>
      <w:sz w:val="20"/>
      <w:szCs w:val="20"/>
    </w:rPr>
  </w:style>
  <w:style w:type="paragraph" w:styleId="TOC9">
    <w:name w:val="toc 9"/>
    <w:basedOn w:val="Normal"/>
    <w:next w:val="Normal"/>
    <w:autoRedefine/>
    <w:semiHidden/>
    <w:pPr>
      <w:ind w:left="1540"/>
    </w:pPr>
    <w:rPr>
      <w:rFonts w:ascii="Times New Roman" w:hAnsi="Times New Roman" w:cs="Times New Roman"/>
      <w:sz w:val="20"/>
      <w:szCs w:val="20"/>
    </w:rPr>
  </w:style>
  <w:style w:type="paragraph" w:customStyle="1" w:styleId="paragraphsub">
    <w:name w:val="paragraphsub"/>
    <w:basedOn w:val="Normal"/>
    <w:pPr>
      <w:spacing w:before="100" w:beforeAutospacing="1" w:after="100" w:afterAutospacing="1"/>
    </w:pPr>
    <w:rPr>
      <w:rFonts w:ascii="Times New Roman" w:hAnsi="Times New Roman" w:cs="Times New Roman"/>
      <w:sz w:val="24"/>
    </w:rPr>
  </w:style>
  <w:style w:type="numbering" w:customStyle="1" w:styleId="Style1">
    <w:name w:val="Style1"/>
    <w:basedOn w:val="NoList"/>
    <w:pPr>
      <w:numPr>
        <w:numId w:val="16"/>
      </w:numPr>
    </w:pPr>
  </w:style>
  <w:style w:type="character" w:customStyle="1" w:styleId="NormalBaseChar2">
    <w:name w:val="Normal Base Char2"/>
    <w:link w:val="NormalBase"/>
    <w:rPr>
      <w:rFonts w:ascii="Arial" w:hAnsi="Arial" w:cs="Arial"/>
      <w:sz w:val="22"/>
      <w:szCs w:val="22"/>
      <w:lang w:val="en-AU" w:eastAsia="en-AU" w:bidi="ar-SA"/>
    </w:rPr>
  </w:style>
  <w:style w:type="character" w:customStyle="1" w:styleId="PlainParagraphChar2">
    <w:name w:val="Plain Paragraph Char2"/>
    <w:basedOn w:val="NormalBaseChar2"/>
    <w:link w:val="PlainParagraph"/>
    <w:rPr>
      <w:rFonts w:ascii="Arial" w:hAnsi="Arial" w:cs="Arial"/>
      <w:sz w:val="22"/>
      <w:szCs w:val="22"/>
      <w:lang w:val="en-AU" w:eastAsia="en-AU" w:bidi="ar-SA"/>
    </w:rPr>
  </w:style>
  <w:style w:type="character" w:customStyle="1" w:styleId="NumberLevel1Char1">
    <w:name w:val="Number Level 1 Char1"/>
    <w:link w:val="NumberLevel1"/>
    <w:rPr>
      <w:rFonts w:ascii="Arial" w:hAnsi="Arial" w:cs="Arial"/>
      <w:sz w:val="22"/>
      <w:szCs w:val="22"/>
      <w:lang w:val="en-AU" w:eastAsia="en-AU" w:bidi="ar-SA"/>
    </w:rPr>
  </w:style>
  <w:style w:type="character" w:customStyle="1" w:styleId="Heading2Char">
    <w:name w:val="Heading 2 Char"/>
    <w:link w:val="Heading2"/>
    <w:rsid w:val="00FE374D"/>
    <w:rPr>
      <w:rFonts w:ascii="Arial" w:hAnsi="Arial" w:cs="Arial"/>
      <w:b/>
      <w:bCs/>
      <w:i/>
      <w:iCs/>
    </w:rPr>
  </w:style>
  <w:style w:type="character" w:customStyle="1" w:styleId="Heading3Char">
    <w:name w:val="Heading 3 Char"/>
    <w:link w:val="Heading3"/>
    <w:rPr>
      <w:rFonts w:ascii="Arial" w:hAnsi="Arial" w:cs="Arial"/>
      <w:b/>
      <w:bCs/>
      <w:i/>
      <w:szCs w:val="26"/>
      <w:lang w:val="en-AU" w:eastAsia="en-AU" w:bidi="ar-SA"/>
    </w:rPr>
  </w:style>
  <w:style w:type="paragraph" w:customStyle="1" w:styleId="Default">
    <w:name w:val="Default"/>
    <w:pPr>
      <w:autoSpaceDE w:val="0"/>
      <w:autoSpaceDN w:val="0"/>
      <w:adjustRightInd w:val="0"/>
    </w:pPr>
    <w:rPr>
      <w:rFonts w:ascii="Arial" w:hAnsi="Arial" w:cs="Arial"/>
      <w:color w:val="000000"/>
      <w:sz w:val="24"/>
      <w:szCs w:val="24"/>
      <w:lang w:val="en-AU" w:eastAsia="en-AU"/>
    </w:rPr>
  </w:style>
  <w:style w:type="character" w:customStyle="1" w:styleId="Quotation1Char1">
    <w:name w:val="Quotation 1 Char1"/>
    <w:basedOn w:val="PlainParagraphChar2"/>
    <w:link w:val="Quotation1"/>
    <w:rPr>
      <w:rFonts w:ascii="Arial" w:hAnsi="Arial" w:cs="Arial"/>
      <w:sz w:val="22"/>
      <w:szCs w:val="22"/>
      <w:lang w:val="en-AU" w:eastAsia="en-AU" w:bidi="ar-SA"/>
    </w:rPr>
  </w:style>
  <w:style w:type="character" w:customStyle="1" w:styleId="HeadingBaseChar">
    <w:name w:val="Heading Base Char"/>
    <w:link w:val="HeadingBase"/>
    <w:rPr>
      <w:rFonts w:ascii="Arial" w:hAnsi="Arial" w:cs="Arial"/>
      <w:szCs w:val="22"/>
      <w:lang w:val="en-AU" w:eastAsia="en-AU" w:bidi="ar-SA"/>
    </w:rPr>
  </w:style>
  <w:style w:type="character" w:customStyle="1" w:styleId="Heading1Char">
    <w:name w:val="Heading 1 Char"/>
    <w:link w:val="Heading1"/>
    <w:rsid w:val="00FE374D"/>
    <w:rPr>
      <w:rFonts w:ascii="Calibri" w:hAnsi="Calibri" w:cs="Calibri"/>
      <w:b/>
      <w:bCs/>
      <w:caps/>
      <w:kern w:val="32"/>
      <w:sz w:val="22"/>
      <w:szCs w:val="22"/>
    </w:rPr>
  </w:style>
  <w:style w:type="character" w:customStyle="1" w:styleId="CommentTextChar">
    <w:name w:val="Comment Text Char"/>
    <w:link w:val="CommentText"/>
    <w:semiHidden/>
    <w:locked/>
    <w:rPr>
      <w:rFonts w:ascii="Arial" w:hAnsi="Arial" w:cs="Arial"/>
      <w:sz w:val="22"/>
      <w:szCs w:val="22"/>
      <w:lang w:val="en-AU" w:eastAsia="en-AU" w:bidi="ar-SA"/>
    </w:rPr>
  </w:style>
  <w:style w:type="character" w:customStyle="1" w:styleId="FootnoteTextChar">
    <w:name w:val="Footnote Text Char"/>
    <w:link w:val="FootnoteText"/>
    <w:uiPriority w:val="99"/>
    <w:semiHidden/>
    <w:locked/>
    <w:rPr>
      <w:rFonts w:ascii="Arial" w:hAnsi="Arial" w:cs="Arial"/>
      <w:sz w:val="18"/>
      <w:lang w:val="en-AU" w:eastAsia="en-AU" w:bidi="ar-SA"/>
    </w:rPr>
  </w:style>
  <w:style w:type="paragraph" w:customStyle="1" w:styleId="Level1">
    <w:name w:val="Level 1"/>
    <w:basedOn w:val="Heading2"/>
    <w:rPr>
      <w:snapToGrid w:val="0"/>
      <w:lang w:val="en-US" w:eastAsia="en-US"/>
    </w:rPr>
  </w:style>
  <w:style w:type="character" w:customStyle="1" w:styleId="name">
    <w:name w:val="name"/>
    <w:basedOn w:val="DefaultParagraphFont"/>
  </w:style>
  <w:style w:type="paragraph" w:customStyle="1" w:styleId="Keryl">
    <w:name w:val="Keryl"/>
    <w:basedOn w:val="Normal"/>
    <w:pPr>
      <w:numPr>
        <w:numId w:val="17"/>
      </w:numPr>
    </w:pPr>
    <w:rPr>
      <w:rFonts w:ascii="Times New Roman" w:hAnsi="Times New Roman" w:cs="Times New Roman"/>
      <w:sz w:val="24"/>
    </w:rPr>
  </w:style>
  <w:style w:type="character" w:customStyle="1" w:styleId="Heading4Char">
    <w:name w:val="Heading 4 Char"/>
    <w:link w:val="Heading4"/>
    <w:rPr>
      <w:rFonts w:ascii="Arial" w:hAnsi="Arial" w:cs="Arial"/>
      <w:bCs/>
      <w:i/>
      <w:szCs w:val="28"/>
      <w:lang w:val="en-AU" w:eastAsia="en-AU" w:bidi="ar-SA"/>
    </w:rPr>
  </w:style>
  <w:style w:type="character" w:customStyle="1" w:styleId="HeaderChar">
    <w:name w:val="Header Char"/>
    <w:link w:val="Header"/>
    <w:uiPriority w:val="99"/>
    <w:semiHidden/>
    <w:locked/>
    <w:rPr>
      <w:rFonts w:ascii="Arial" w:hAnsi="Arial" w:cs="Arial"/>
      <w:szCs w:val="22"/>
      <w:lang w:val="en-AU" w:eastAsia="en-AU" w:bidi="ar-SA"/>
    </w:rPr>
  </w:style>
  <w:style w:type="character" w:customStyle="1" w:styleId="FooterChar">
    <w:name w:val="Footer Char"/>
    <w:uiPriority w:val="99"/>
    <w:locked/>
    <w:rPr>
      <w:rFonts w:ascii="Times" w:hAnsi="Times" w:cs="Times"/>
      <w:sz w:val="24"/>
      <w:lang w:val="en-AU" w:eastAsia="en-AU" w:bidi="ar-SA"/>
    </w:rPr>
  </w:style>
  <w:style w:type="character" w:customStyle="1" w:styleId="highlight">
    <w:name w:val="highlight"/>
    <w:basedOn w:val="DefaultParagraphFont"/>
  </w:style>
  <w:style w:type="paragraph" w:customStyle="1" w:styleId="CM14">
    <w:name w:val="CM14"/>
    <w:basedOn w:val="Default"/>
    <w:next w:val="Default"/>
    <w:rPr>
      <w:rFonts w:ascii="Times New Roman" w:hAnsi="Times New Roman" w:cs="Times New Roman"/>
      <w:color w:val="auto"/>
    </w:rPr>
  </w:style>
  <w:style w:type="character" w:customStyle="1" w:styleId="CharChar2">
    <w:name w:val="Char Char2"/>
    <w:semiHidden/>
    <w:locked/>
    <w:rPr>
      <w:rFonts w:ascii="Arial" w:hAnsi="Arial" w:cs="Arial"/>
      <w:sz w:val="18"/>
      <w:szCs w:val="18"/>
      <w:lang w:val="en-AU" w:eastAsia="en-AU" w:bidi="ar-SA"/>
    </w:rPr>
  </w:style>
  <w:style w:type="character" w:customStyle="1" w:styleId="NumberLevel2Char">
    <w:name w:val="Number Level 2 Char"/>
    <w:basedOn w:val="PlainParagraphChar"/>
    <w:link w:val="NumberLevel2"/>
    <w:locked/>
    <w:rPr>
      <w:rFonts w:ascii="Arial" w:hAnsi="Arial" w:cs="Arial"/>
      <w:sz w:val="22"/>
      <w:szCs w:val="22"/>
      <w:lang w:val="en-AU" w:eastAsia="en-AU" w:bidi="ar-SA"/>
    </w:rPr>
  </w:style>
  <w:style w:type="character" w:customStyle="1" w:styleId="EmailStyle371">
    <w:name w:val="EmailStyle371"/>
    <w:semiHidden/>
    <w:rPr>
      <w:rFonts w:ascii="Times New Roman" w:hAnsi="Times New Roman" w:cs="Times New Roman"/>
      <w:b w:val="0"/>
      <w:bCs w:val="0"/>
      <w:i w:val="0"/>
      <w:iCs w:val="0"/>
      <w:strike w:val="0"/>
      <w:color w:val="000000"/>
      <w:sz w:val="24"/>
      <w:szCs w:val="24"/>
      <w:u w:val="none"/>
    </w:rPr>
  </w:style>
  <w:style w:type="character" w:customStyle="1" w:styleId="CharChar4">
    <w:name w:val="Char Char4"/>
    <w:rPr>
      <w:rFonts w:ascii="Arial" w:hAnsi="Arial" w:cs="Arial"/>
      <w:sz w:val="16"/>
      <w:szCs w:val="22"/>
      <w:lang w:val="en-AU" w:eastAsia="en-AU" w:bidi="ar-SA"/>
    </w:rPr>
  </w:style>
  <w:style w:type="character" w:customStyle="1" w:styleId="CharChar7">
    <w:name w:val="Char Char7"/>
    <w:rPr>
      <w:rFonts w:ascii="Arial" w:hAnsi="Arial" w:cs="Arial"/>
      <w:b/>
      <w:bCs/>
      <w:iCs/>
      <w:sz w:val="22"/>
      <w:szCs w:val="28"/>
      <w:lang w:val="en-AU" w:eastAsia="en-AU" w:bidi="ar-SA"/>
    </w:rPr>
  </w:style>
  <w:style w:type="character" w:customStyle="1" w:styleId="CharChar6">
    <w:name w:val="Char Char6"/>
    <w:rPr>
      <w:rFonts w:ascii="Arial" w:hAnsi="Arial" w:cs="Arial"/>
      <w:b/>
      <w:bCs/>
      <w:i/>
      <w:szCs w:val="26"/>
      <w:lang w:val="en-AU" w:eastAsia="en-AU" w:bidi="ar-SA"/>
    </w:rPr>
  </w:style>
  <w:style w:type="character" w:customStyle="1" w:styleId="CharChar8">
    <w:name w:val="Char Char8"/>
    <w:rPr>
      <w:rFonts w:ascii="Arial" w:hAnsi="Arial" w:cs="Arial"/>
      <w:b/>
      <w:bCs/>
      <w:caps/>
      <w:kern w:val="32"/>
      <w:szCs w:val="32"/>
      <w:lang w:val="en-AU" w:eastAsia="en-AU" w:bidi="ar-SA"/>
    </w:rPr>
  </w:style>
  <w:style w:type="character" w:customStyle="1" w:styleId="CharChar1">
    <w:name w:val="Char Char1"/>
    <w:semiHidden/>
    <w:locked/>
    <w:rPr>
      <w:rFonts w:ascii="Arial" w:hAnsi="Arial" w:cs="Arial"/>
      <w:sz w:val="18"/>
      <w:lang w:val="en-AU" w:eastAsia="en-AU" w:bidi="ar-SA"/>
    </w:rPr>
  </w:style>
  <w:style w:type="character" w:customStyle="1" w:styleId="CharChar5">
    <w:name w:val="Char Char5"/>
    <w:rPr>
      <w:rFonts w:ascii="Arial" w:hAnsi="Arial" w:cs="Arial"/>
      <w:bCs/>
      <w:i/>
      <w:szCs w:val="28"/>
      <w:lang w:val="en-AU" w:eastAsia="en-AU" w:bidi="ar-SA"/>
    </w:rPr>
  </w:style>
  <w:style w:type="character" w:customStyle="1" w:styleId="CharChar3">
    <w:name w:val="Char Char3"/>
    <w:semiHidden/>
    <w:locked/>
    <w:rPr>
      <w:rFonts w:ascii="Arial" w:hAnsi="Arial" w:cs="Arial"/>
      <w:szCs w:val="22"/>
      <w:lang w:val="en-AU" w:eastAsia="en-AU" w:bidi="ar-SA"/>
    </w:rPr>
  </w:style>
  <w:style w:type="paragraph" w:customStyle="1" w:styleId="style6">
    <w:name w:val="style6"/>
    <w:basedOn w:val="Normal"/>
    <w:rPr>
      <w:rFonts w:ascii="Times New Roman" w:hAnsi="Times New Roman" w:cs="Times New Roman"/>
      <w:color w:val="000000"/>
      <w:sz w:val="20"/>
      <w:szCs w:val="20"/>
    </w:rPr>
  </w:style>
  <w:style w:type="character" w:customStyle="1" w:styleId="CharChar10">
    <w:name w:val="Char Char1"/>
    <w:semiHidden/>
    <w:locked/>
    <w:rPr>
      <w:rFonts w:ascii="Arial" w:hAnsi="Arial" w:cs="Arial"/>
      <w:sz w:val="18"/>
      <w:lang w:val="en-AU" w:eastAsia="en-AU" w:bidi="ar-SA"/>
    </w:rPr>
  </w:style>
  <w:style w:type="paragraph" w:customStyle="1" w:styleId="numberlevel10">
    <w:name w:val="numberlevel1"/>
    <w:basedOn w:val="Normal"/>
    <w:pPr>
      <w:spacing w:before="100" w:beforeAutospacing="1" w:after="100" w:afterAutospacing="1"/>
    </w:pPr>
    <w:rPr>
      <w:rFonts w:ascii="Times New Roman" w:hAnsi="Times New Roman" w:cs="Times New Roman"/>
      <w:sz w:val="24"/>
    </w:rPr>
  </w:style>
  <w:style w:type="paragraph" w:styleId="ListParagraph">
    <w:name w:val="List Paragraph"/>
    <w:basedOn w:val="Normal"/>
    <w:uiPriority w:val="1"/>
    <w:qFormat/>
    <w:rsid w:val="006D4FE9"/>
    <w:pPr>
      <w:ind w:left="709"/>
    </w:pPr>
  </w:style>
  <w:style w:type="paragraph" w:styleId="TOCHeading">
    <w:name w:val="TOC Heading"/>
    <w:basedOn w:val="Heading1"/>
    <w:next w:val="Normal"/>
    <w:uiPriority w:val="39"/>
    <w:unhideWhenUsed/>
    <w:qFormat/>
    <w:rsid w:val="00FE374D"/>
    <w:pPr>
      <w:spacing w:before="240" w:line="259" w:lineRule="auto"/>
      <w:outlineLvl w:val="9"/>
    </w:pPr>
    <w:rPr>
      <w:rFonts w:ascii="Calibri Light" w:hAnsi="Calibri Light" w:cs="Times New Roman"/>
      <w:b w:val="0"/>
      <w:bCs w:val="0"/>
      <w:caps w:val="0"/>
      <w:color w:val="2E74B5"/>
      <w:kern w:val="0"/>
      <w:sz w:val="32"/>
      <w:szCs w:val="32"/>
      <w:lang w:val="en-US" w:eastAsia="en-US"/>
    </w:rPr>
  </w:style>
  <w:style w:type="numbering" w:customStyle="1" w:styleId="NoList1">
    <w:name w:val="No List1"/>
    <w:next w:val="NoList"/>
    <w:uiPriority w:val="99"/>
    <w:semiHidden/>
    <w:unhideWhenUsed/>
    <w:rsid w:val="00C43691"/>
  </w:style>
  <w:style w:type="paragraph" w:customStyle="1" w:styleId="msonormal0">
    <w:name w:val="msonormal"/>
    <w:basedOn w:val="Normal"/>
    <w:rsid w:val="00C43691"/>
    <w:pPr>
      <w:spacing w:before="100" w:beforeAutospacing="1" w:after="100" w:afterAutospacing="1"/>
    </w:pPr>
    <w:rPr>
      <w:rFonts w:ascii="Times New Roman" w:hAnsi="Times New Roman" w:cs="Times New Roman"/>
      <w:sz w:val="24"/>
    </w:rPr>
  </w:style>
  <w:style w:type="paragraph" w:customStyle="1" w:styleId="xl63">
    <w:name w:val="xl63"/>
    <w:basedOn w:val="Normal"/>
    <w:rsid w:val="00C436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rPr>
  </w:style>
  <w:style w:type="paragraph" w:customStyle="1" w:styleId="xl64">
    <w:name w:val="xl64"/>
    <w:basedOn w:val="Normal"/>
    <w:rsid w:val="00C436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rPr>
  </w:style>
  <w:style w:type="paragraph" w:customStyle="1" w:styleId="xl65">
    <w:name w:val="xl65"/>
    <w:basedOn w:val="Normal"/>
    <w:rsid w:val="00C43691"/>
    <w:pPr>
      <w:spacing w:before="100" w:beforeAutospacing="1" w:after="100" w:afterAutospacing="1"/>
    </w:pPr>
    <w:rPr>
      <w:rFonts w:ascii="Times New Roman" w:hAnsi="Times New Roman" w:cs="Times New Roman"/>
      <w:sz w:val="24"/>
    </w:rPr>
  </w:style>
  <w:style w:type="table" w:customStyle="1" w:styleId="TableGrid10">
    <w:name w:val="Table Grid1"/>
    <w:basedOn w:val="TableNormal"/>
    <w:next w:val="TableGrid"/>
    <w:uiPriority w:val="39"/>
    <w:rsid w:val="00C43691"/>
    <w:rPr>
      <w:rFonts w:asciiTheme="minorHAnsi" w:eastAsiaTheme="minorHAnsi" w:hAnsiTheme="minorHAnsi" w:cstheme="minorBidi"/>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B2456C"/>
    <w:pPr>
      <w:spacing w:before="100" w:beforeAutospacing="1" w:after="100" w:afterAutospacing="1"/>
    </w:pPr>
    <w:rPr>
      <w:rFonts w:ascii="Times New Roman" w:hAnsi="Times New Roman" w:cs="Times New Roman"/>
      <w:sz w:val="24"/>
    </w:rPr>
  </w:style>
  <w:style w:type="character" w:customStyle="1" w:styleId="cf01">
    <w:name w:val="cf01"/>
    <w:basedOn w:val="DefaultParagraphFont"/>
    <w:rsid w:val="00B2456C"/>
    <w:rPr>
      <w:rFonts w:ascii="Segoe UI" w:hAnsi="Segoe UI" w:cs="Segoe UI" w:hint="default"/>
      <w:sz w:val="18"/>
      <w:szCs w:val="18"/>
    </w:rPr>
  </w:style>
  <w:style w:type="paragraph" w:styleId="Revision">
    <w:name w:val="Revision"/>
    <w:hidden/>
    <w:uiPriority w:val="99"/>
    <w:semiHidden/>
    <w:rsid w:val="00C06234"/>
    <w:rPr>
      <w:rFonts w:ascii="Arial" w:hAnsi="Arial" w:cs="Arial"/>
      <w:sz w:val="22"/>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423897">
      <w:bodyDiv w:val="1"/>
      <w:marLeft w:val="0"/>
      <w:marRight w:val="0"/>
      <w:marTop w:val="0"/>
      <w:marBottom w:val="0"/>
      <w:divBdr>
        <w:top w:val="none" w:sz="0" w:space="0" w:color="auto"/>
        <w:left w:val="none" w:sz="0" w:space="0" w:color="auto"/>
        <w:bottom w:val="none" w:sz="0" w:space="0" w:color="auto"/>
        <w:right w:val="none" w:sz="0" w:space="0" w:color="auto"/>
      </w:divBdr>
    </w:div>
    <w:div w:id="1001619224">
      <w:bodyDiv w:val="1"/>
      <w:marLeft w:val="0"/>
      <w:marRight w:val="0"/>
      <w:marTop w:val="0"/>
      <w:marBottom w:val="0"/>
      <w:divBdr>
        <w:top w:val="none" w:sz="0" w:space="0" w:color="auto"/>
        <w:left w:val="none" w:sz="0" w:space="0" w:color="auto"/>
        <w:bottom w:val="none" w:sz="0" w:space="0" w:color="auto"/>
        <w:right w:val="none" w:sz="0" w:space="0" w:color="auto"/>
      </w:divBdr>
    </w:div>
    <w:div w:id="1286694685">
      <w:bodyDiv w:val="1"/>
      <w:marLeft w:val="0"/>
      <w:marRight w:val="0"/>
      <w:marTop w:val="0"/>
      <w:marBottom w:val="0"/>
      <w:divBdr>
        <w:top w:val="none" w:sz="0" w:space="0" w:color="auto"/>
        <w:left w:val="none" w:sz="0" w:space="0" w:color="auto"/>
        <w:bottom w:val="none" w:sz="0" w:space="0" w:color="auto"/>
        <w:right w:val="none" w:sz="0" w:space="0" w:color="auto"/>
      </w:divBdr>
      <w:divsChild>
        <w:div w:id="1268348852">
          <w:marLeft w:val="0"/>
          <w:marRight w:val="0"/>
          <w:marTop w:val="0"/>
          <w:marBottom w:val="0"/>
          <w:divBdr>
            <w:top w:val="none" w:sz="0" w:space="0" w:color="auto"/>
            <w:left w:val="none" w:sz="0" w:space="0" w:color="auto"/>
            <w:bottom w:val="none" w:sz="0" w:space="0" w:color="auto"/>
            <w:right w:val="none" w:sz="0" w:space="0" w:color="auto"/>
          </w:divBdr>
          <w:divsChild>
            <w:div w:id="575170926">
              <w:marLeft w:val="0"/>
              <w:marRight w:val="0"/>
              <w:marTop w:val="0"/>
              <w:marBottom w:val="0"/>
              <w:divBdr>
                <w:top w:val="none" w:sz="0" w:space="0" w:color="auto"/>
                <w:left w:val="none" w:sz="0" w:space="0" w:color="auto"/>
                <w:bottom w:val="none" w:sz="0" w:space="0" w:color="auto"/>
                <w:right w:val="none" w:sz="0" w:space="0" w:color="auto"/>
              </w:divBdr>
            </w:div>
          </w:divsChild>
        </w:div>
        <w:div w:id="1634434656">
          <w:marLeft w:val="0"/>
          <w:marRight w:val="0"/>
          <w:marTop w:val="0"/>
          <w:marBottom w:val="0"/>
          <w:divBdr>
            <w:top w:val="none" w:sz="0" w:space="0" w:color="auto"/>
            <w:left w:val="none" w:sz="0" w:space="0" w:color="auto"/>
            <w:bottom w:val="none" w:sz="0" w:space="0" w:color="auto"/>
            <w:right w:val="none" w:sz="0" w:space="0" w:color="auto"/>
          </w:divBdr>
          <w:divsChild>
            <w:div w:id="1545867865">
              <w:marLeft w:val="0"/>
              <w:marRight w:val="0"/>
              <w:marTop w:val="0"/>
              <w:marBottom w:val="0"/>
              <w:divBdr>
                <w:top w:val="none" w:sz="0" w:space="0" w:color="auto"/>
                <w:left w:val="none" w:sz="0" w:space="0" w:color="auto"/>
                <w:bottom w:val="none" w:sz="0" w:space="0" w:color="auto"/>
                <w:right w:val="none" w:sz="0" w:space="0" w:color="auto"/>
              </w:divBdr>
              <w:divsChild>
                <w:div w:id="1319379833">
                  <w:marLeft w:val="0"/>
                  <w:marRight w:val="0"/>
                  <w:marTop w:val="0"/>
                  <w:marBottom w:val="0"/>
                  <w:divBdr>
                    <w:top w:val="none" w:sz="0" w:space="0" w:color="auto"/>
                    <w:left w:val="none" w:sz="0" w:space="0" w:color="auto"/>
                    <w:bottom w:val="none" w:sz="0" w:space="0" w:color="auto"/>
                    <w:right w:val="none" w:sz="0" w:space="0" w:color="auto"/>
                  </w:divBdr>
                  <w:divsChild>
                    <w:div w:id="337465765">
                      <w:marLeft w:val="0"/>
                      <w:marRight w:val="0"/>
                      <w:marTop w:val="0"/>
                      <w:marBottom w:val="225"/>
                      <w:divBdr>
                        <w:top w:val="none" w:sz="0" w:space="0" w:color="auto"/>
                        <w:left w:val="none" w:sz="0" w:space="0" w:color="auto"/>
                        <w:bottom w:val="none" w:sz="0" w:space="0" w:color="auto"/>
                        <w:right w:val="none" w:sz="0" w:space="0" w:color="auto"/>
                      </w:divBdr>
                    </w:div>
                  </w:divsChild>
                </w:div>
                <w:div w:id="15937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835">
          <w:marLeft w:val="0"/>
          <w:marRight w:val="0"/>
          <w:marTop w:val="0"/>
          <w:marBottom w:val="0"/>
          <w:divBdr>
            <w:top w:val="none" w:sz="0" w:space="0" w:color="auto"/>
            <w:left w:val="none" w:sz="0" w:space="0" w:color="auto"/>
            <w:bottom w:val="none" w:sz="0" w:space="0" w:color="auto"/>
            <w:right w:val="none" w:sz="0" w:space="0" w:color="auto"/>
          </w:divBdr>
          <w:divsChild>
            <w:div w:id="33114734">
              <w:marLeft w:val="0"/>
              <w:marRight w:val="0"/>
              <w:marTop w:val="0"/>
              <w:marBottom w:val="0"/>
              <w:divBdr>
                <w:top w:val="none" w:sz="0" w:space="0" w:color="auto"/>
                <w:left w:val="none" w:sz="0" w:space="0" w:color="auto"/>
                <w:bottom w:val="none" w:sz="0" w:space="0" w:color="auto"/>
                <w:right w:val="none" w:sz="0" w:space="0" w:color="auto"/>
              </w:divBdr>
              <w:divsChild>
                <w:div w:id="17567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8BC01160-633E-4790-B120-269DB7419D72}">
  <ds:schemaRefs>
    <ds:schemaRef ds:uri="http://schemas.openxmlformats.org/officeDocument/2006/bibliography"/>
  </ds:schemaRefs>
</ds:datastoreItem>
</file>

<file path=customXml/itemProps2.xml><?xml version="1.0" encoding="utf-8"?>
<ds:datastoreItem xmlns:ds="http://schemas.openxmlformats.org/officeDocument/2006/customXml" ds:itemID="{5C6B09A4-7800-4CD2-9577-9FDE049F57F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13574</Words>
  <Characters>77375</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90768</CharactersWithSpaces>
  <SharedDoc>false</SharedDoc>
  <HLinks>
    <vt:vector size="126" baseType="variant">
      <vt:variant>
        <vt:i4>1441853</vt:i4>
      </vt:variant>
      <vt:variant>
        <vt:i4>122</vt:i4>
      </vt:variant>
      <vt:variant>
        <vt:i4>0</vt:i4>
      </vt:variant>
      <vt:variant>
        <vt:i4>5</vt:i4>
      </vt:variant>
      <vt:variant>
        <vt:lpwstr/>
      </vt:variant>
      <vt:variant>
        <vt:lpwstr>_Toc119919401</vt:lpwstr>
      </vt:variant>
      <vt:variant>
        <vt:i4>1441853</vt:i4>
      </vt:variant>
      <vt:variant>
        <vt:i4>116</vt:i4>
      </vt:variant>
      <vt:variant>
        <vt:i4>0</vt:i4>
      </vt:variant>
      <vt:variant>
        <vt:i4>5</vt:i4>
      </vt:variant>
      <vt:variant>
        <vt:lpwstr/>
      </vt:variant>
      <vt:variant>
        <vt:lpwstr>_Toc119919400</vt:lpwstr>
      </vt:variant>
      <vt:variant>
        <vt:i4>2031674</vt:i4>
      </vt:variant>
      <vt:variant>
        <vt:i4>110</vt:i4>
      </vt:variant>
      <vt:variant>
        <vt:i4>0</vt:i4>
      </vt:variant>
      <vt:variant>
        <vt:i4>5</vt:i4>
      </vt:variant>
      <vt:variant>
        <vt:lpwstr/>
      </vt:variant>
      <vt:variant>
        <vt:lpwstr>_Toc119919399</vt:lpwstr>
      </vt:variant>
      <vt:variant>
        <vt:i4>2031674</vt:i4>
      </vt:variant>
      <vt:variant>
        <vt:i4>104</vt:i4>
      </vt:variant>
      <vt:variant>
        <vt:i4>0</vt:i4>
      </vt:variant>
      <vt:variant>
        <vt:i4>5</vt:i4>
      </vt:variant>
      <vt:variant>
        <vt:lpwstr/>
      </vt:variant>
      <vt:variant>
        <vt:lpwstr>_Toc119919398</vt:lpwstr>
      </vt:variant>
      <vt:variant>
        <vt:i4>2031674</vt:i4>
      </vt:variant>
      <vt:variant>
        <vt:i4>98</vt:i4>
      </vt:variant>
      <vt:variant>
        <vt:i4>0</vt:i4>
      </vt:variant>
      <vt:variant>
        <vt:i4>5</vt:i4>
      </vt:variant>
      <vt:variant>
        <vt:lpwstr/>
      </vt:variant>
      <vt:variant>
        <vt:lpwstr>_Toc119919397</vt:lpwstr>
      </vt:variant>
      <vt:variant>
        <vt:i4>2031674</vt:i4>
      </vt:variant>
      <vt:variant>
        <vt:i4>92</vt:i4>
      </vt:variant>
      <vt:variant>
        <vt:i4>0</vt:i4>
      </vt:variant>
      <vt:variant>
        <vt:i4>5</vt:i4>
      </vt:variant>
      <vt:variant>
        <vt:lpwstr/>
      </vt:variant>
      <vt:variant>
        <vt:lpwstr>_Toc119919396</vt:lpwstr>
      </vt:variant>
      <vt:variant>
        <vt:i4>2031674</vt:i4>
      </vt:variant>
      <vt:variant>
        <vt:i4>86</vt:i4>
      </vt:variant>
      <vt:variant>
        <vt:i4>0</vt:i4>
      </vt:variant>
      <vt:variant>
        <vt:i4>5</vt:i4>
      </vt:variant>
      <vt:variant>
        <vt:lpwstr/>
      </vt:variant>
      <vt:variant>
        <vt:lpwstr>_Toc119919395</vt:lpwstr>
      </vt:variant>
      <vt:variant>
        <vt:i4>2031674</vt:i4>
      </vt:variant>
      <vt:variant>
        <vt:i4>80</vt:i4>
      </vt:variant>
      <vt:variant>
        <vt:i4>0</vt:i4>
      </vt:variant>
      <vt:variant>
        <vt:i4>5</vt:i4>
      </vt:variant>
      <vt:variant>
        <vt:lpwstr/>
      </vt:variant>
      <vt:variant>
        <vt:lpwstr>_Toc119919394</vt:lpwstr>
      </vt:variant>
      <vt:variant>
        <vt:i4>2031674</vt:i4>
      </vt:variant>
      <vt:variant>
        <vt:i4>74</vt:i4>
      </vt:variant>
      <vt:variant>
        <vt:i4>0</vt:i4>
      </vt:variant>
      <vt:variant>
        <vt:i4>5</vt:i4>
      </vt:variant>
      <vt:variant>
        <vt:lpwstr/>
      </vt:variant>
      <vt:variant>
        <vt:lpwstr>_Toc119919393</vt:lpwstr>
      </vt:variant>
      <vt:variant>
        <vt:i4>2031674</vt:i4>
      </vt:variant>
      <vt:variant>
        <vt:i4>68</vt:i4>
      </vt:variant>
      <vt:variant>
        <vt:i4>0</vt:i4>
      </vt:variant>
      <vt:variant>
        <vt:i4>5</vt:i4>
      </vt:variant>
      <vt:variant>
        <vt:lpwstr/>
      </vt:variant>
      <vt:variant>
        <vt:lpwstr>_Toc119919392</vt:lpwstr>
      </vt:variant>
      <vt:variant>
        <vt:i4>2031674</vt:i4>
      </vt:variant>
      <vt:variant>
        <vt:i4>62</vt:i4>
      </vt:variant>
      <vt:variant>
        <vt:i4>0</vt:i4>
      </vt:variant>
      <vt:variant>
        <vt:i4>5</vt:i4>
      </vt:variant>
      <vt:variant>
        <vt:lpwstr/>
      </vt:variant>
      <vt:variant>
        <vt:lpwstr>_Toc119919391</vt:lpwstr>
      </vt:variant>
      <vt:variant>
        <vt:i4>2031674</vt:i4>
      </vt:variant>
      <vt:variant>
        <vt:i4>56</vt:i4>
      </vt:variant>
      <vt:variant>
        <vt:i4>0</vt:i4>
      </vt:variant>
      <vt:variant>
        <vt:i4>5</vt:i4>
      </vt:variant>
      <vt:variant>
        <vt:lpwstr/>
      </vt:variant>
      <vt:variant>
        <vt:lpwstr>_Toc119919390</vt:lpwstr>
      </vt:variant>
      <vt:variant>
        <vt:i4>1966138</vt:i4>
      </vt:variant>
      <vt:variant>
        <vt:i4>50</vt:i4>
      </vt:variant>
      <vt:variant>
        <vt:i4>0</vt:i4>
      </vt:variant>
      <vt:variant>
        <vt:i4>5</vt:i4>
      </vt:variant>
      <vt:variant>
        <vt:lpwstr/>
      </vt:variant>
      <vt:variant>
        <vt:lpwstr>_Toc119919389</vt:lpwstr>
      </vt:variant>
      <vt:variant>
        <vt:i4>1966138</vt:i4>
      </vt:variant>
      <vt:variant>
        <vt:i4>44</vt:i4>
      </vt:variant>
      <vt:variant>
        <vt:i4>0</vt:i4>
      </vt:variant>
      <vt:variant>
        <vt:i4>5</vt:i4>
      </vt:variant>
      <vt:variant>
        <vt:lpwstr/>
      </vt:variant>
      <vt:variant>
        <vt:lpwstr>_Toc119919388</vt:lpwstr>
      </vt:variant>
      <vt:variant>
        <vt:i4>1966138</vt:i4>
      </vt:variant>
      <vt:variant>
        <vt:i4>38</vt:i4>
      </vt:variant>
      <vt:variant>
        <vt:i4>0</vt:i4>
      </vt:variant>
      <vt:variant>
        <vt:i4>5</vt:i4>
      </vt:variant>
      <vt:variant>
        <vt:lpwstr/>
      </vt:variant>
      <vt:variant>
        <vt:lpwstr>_Toc119919387</vt:lpwstr>
      </vt:variant>
      <vt:variant>
        <vt:i4>1966138</vt:i4>
      </vt:variant>
      <vt:variant>
        <vt:i4>32</vt:i4>
      </vt:variant>
      <vt:variant>
        <vt:i4>0</vt:i4>
      </vt:variant>
      <vt:variant>
        <vt:i4>5</vt:i4>
      </vt:variant>
      <vt:variant>
        <vt:lpwstr/>
      </vt:variant>
      <vt:variant>
        <vt:lpwstr>_Toc119919386</vt:lpwstr>
      </vt:variant>
      <vt:variant>
        <vt:i4>1966138</vt:i4>
      </vt:variant>
      <vt:variant>
        <vt:i4>26</vt:i4>
      </vt:variant>
      <vt:variant>
        <vt:i4>0</vt:i4>
      </vt:variant>
      <vt:variant>
        <vt:i4>5</vt:i4>
      </vt:variant>
      <vt:variant>
        <vt:lpwstr/>
      </vt:variant>
      <vt:variant>
        <vt:lpwstr>_Toc119919385</vt:lpwstr>
      </vt:variant>
      <vt:variant>
        <vt:i4>1966138</vt:i4>
      </vt:variant>
      <vt:variant>
        <vt:i4>20</vt:i4>
      </vt:variant>
      <vt:variant>
        <vt:i4>0</vt:i4>
      </vt:variant>
      <vt:variant>
        <vt:i4>5</vt:i4>
      </vt:variant>
      <vt:variant>
        <vt:lpwstr/>
      </vt:variant>
      <vt:variant>
        <vt:lpwstr>_Toc119919384</vt:lpwstr>
      </vt:variant>
      <vt:variant>
        <vt:i4>1966138</vt:i4>
      </vt:variant>
      <vt:variant>
        <vt:i4>14</vt:i4>
      </vt:variant>
      <vt:variant>
        <vt:i4>0</vt:i4>
      </vt:variant>
      <vt:variant>
        <vt:i4>5</vt:i4>
      </vt:variant>
      <vt:variant>
        <vt:lpwstr/>
      </vt:variant>
      <vt:variant>
        <vt:lpwstr>_Toc119919383</vt:lpwstr>
      </vt:variant>
      <vt:variant>
        <vt:i4>1966138</vt:i4>
      </vt:variant>
      <vt:variant>
        <vt:i4>8</vt:i4>
      </vt:variant>
      <vt:variant>
        <vt:i4>0</vt:i4>
      </vt:variant>
      <vt:variant>
        <vt:i4>5</vt:i4>
      </vt:variant>
      <vt:variant>
        <vt:lpwstr/>
      </vt:variant>
      <vt:variant>
        <vt:lpwstr>_Toc119919382</vt:lpwstr>
      </vt:variant>
      <vt:variant>
        <vt:i4>1966138</vt:i4>
      </vt:variant>
      <vt:variant>
        <vt:i4>2</vt:i4>
      </vt:variant>
      <vt:variant>
        <vt:i4>0</vt:i4>
      </vt:variant>
      <vt:variant>
        <vt:i4>5</vt:i4>
      </vt:variant>
      <vt:variant>
        <vt:lpwstr/>
      </vt:variant>
      <vt:variant>
        <vt:lpwstr>_Toc119919381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2025-05-05T04:13:00Z</dcterms:created>
  <dcterms:modified xsi:type="dcterms:W3CDTF">2025-05-05T04:13:00Z</dcterms:modified>
</cp:coreProperties>
</file>